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DCD" w:rsidRPr="002D3742" w:rsidRDefault="00387DCD" w:rsidP="002D3742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rPr>
          <w:rFonts w:ascii="Arial" w:hAnsi="Arial" w:cs="Arial"/>
          <w:b/>
          <w:bCs/>
          <w:sz w:val="30"/>
          <w:szCs w:val="30"/>
        </w:rPr>
      </w:pPr>
      <w:r w:rsidRPr="002D3742">
        <w:rPr>
          <w:rFonts w:ascii="Arial" w:hAnsi="Arial" w:cs="Arial"/>
          <w:b/>
          <w:bCs/>
          <w:sz w:val="30"/>
          <w:szCs w:val="30"/>
        </w:rPr>
        <w:t>Zuchtrinderver</w:t>
      </w:r>
      <w:r w:rsidR="00420B37" w:rsidRPr="002D3742">
        <w:rPr>
          <w:rFonts w:ascii="Arial" w:hAnsi="Arial" w:cs="Arial"/>
          <w:b/>
          <w:bCs/>
          <w:sz w:val="30"/>
          <w:szCs w:val="30"/>
        </w:rPr>
        <w:t xml:space="preserve">steigerung in </w:t>
      </w:r>
      <w:proofErr w:type="spellStart"/>
      <w:r w:rsidR="00420B37" w:rsidRPr="002D3742">
        <w:rPr>
          <w:rFonts w:ascii="Arial" w:hAnsi="Arial" w:cs="Arial"/>
          <w:b/>
          <w:bCs/>
          <w:sz w:val="30"/>
          <w:szCs w:val="30"/>
        </w:rPr>
        <w:t>Regau</w:t>
      </w:r>
      <w:proofErr w:type="spellEnd"/>
      <w:r w:rsidR="00420B37" w:rsidRPr="002D3742">
        <w:rPr>
          <w:rFonts w:ascii="Arial" w:hAnsi="Arial" w:cs="Arial"/>
          <w:b/>
          <w:bCs/>
          <w:sz w:val="30"/>
          <w:szCs w:val="30"/>
        </w:rPr>
        <w:t xml:space="preserve"> am</w:t>
      </w:r>
      <w:r w:rsidR="000A1B3F" w:rsidRPr="002D3742">
        <w:rPr>
          <w:rFonts w:ascii="Arial" w:hAnsi="Arial" w:cs="Arial"/>
          <w:b/>
          <w:bCs/>
          <w:sz w:val="30"/>
          <w:szCs w:val="30"/>
        </w:rPr>
        <w:t xml:space="preserve"> </w:t>
      </w:r>
      <w:r w:rsidR="00311CF3">
        <w:rPr>
          <w:rFonts w:ascii="Arial" w:hAnsi="Arial" w:cs="Arial"/>
          <w:b/>
          <w:bCs/>
          <w:sz w:val="30"/>
          <w:szCs w:val="30"/>
        </w:rPr>
        <w:t>Mittwoch</w:t>
      </w:r>
      <w:r w:rsidR="00420B37" w:rsidRPr="002D3742">
        <w:rPr>
          <w:rFonts w:ascii="Arial" w:hAnsi="Arial" w:cs="Arial"/>
          <w:b/>
          <w:bCs/>
          <w:sz w:val="30"/>
          <w:szCs w:val="30"/>
        </w:rPr>
        <w:t>,</w:t>
      </w:r>
      <w:r w:rsidR="0017229C" w:rsidRPr="002D3742">
        <w:rPr>
          <w:rFonts w:ascii="Arial" w:hAnsi="Arial" w:cs="Arial"/>
          <w:b/>
          <w:bCs/>
          <w:sz w:val="30"/>
          <w:szCs w:val="30"/>
        </w:rPr>
        <w:t xml:space="preserve"> </w:t>
      </w:r>
      <w:r w:rsidR="00311CF3">
        <w:rPr>
          <w:rFonts w:ascii="Arial" w:hAnsi="Arial" w:cs="Arial"/>
          <w:b/>
          <w:bCs/>
          <w:sz w:val="30"/>
          <w:szCs w:val="30"/>
        </w:rPr>
        <w:t>02. November</w:t>
      </w:r>
      <w:r w:rsidR="00771557">
        <w:rPr>
          <w:rFonts w:ascii="Arial" w:hAnsi="Arial" w:cs="Arial"/>
          <w:b/>
          <w:bCs/>
          <w:sz w:val="30"/>
          <w:szCs w:val="30"/>
        </w:rPr>
        <w:t xml:space="preserve"> 2022</w:t>
      </w:r>
    </w:p>
    <w:p w:rsidR="00387DCD" w:rsidRPr="00A635EF" w:rsidRDefault="00387DCD">
      <w:pPr>
        <w:pStyle w:val="Blocktext"/>
        <w:ind w:right="0"/>
        <w:rPr>
          <w:rFonts w:ascii="Arial" w:hAnsi="Arial" w:cs="Arial"/>
          <w:b w:val="0"/>
          <w:bCs w:val="0"/>
          <w:sz w:val="8"/>
          <w:szCs w:val="8"/>
        </w:rPr>
      </w:pPr>
    </w:p>
    <w:p w:rsidR="00A02FB1" w:rsidRDefault="00A02FB1" w:rsidP="0060365D">
      <w:pPr>
        <w:pStyle w:val="Blocktext"/>
        <w:ind w:left="0" w:right="0" w:firstLine="0"/>
        <w:jc w:val="left"/>
        <w:rPr>
          <w:rFonts w:ascii="Arial" w:hAnsi="Arial" w:cs="Arial"/>
          <w:sz w:val="24"/>
          <w:u w:val="single"/>
        </w:rPr>
      </w:pPr>
    </w:p>
    <w:p w:rsidR="00BC2D6C" w:rsidRDefault="0084528F">
      <w:pPr>
        <w:pStyle w:val="Blocktext"/>
        <w:ind w:right="0" w:firstLine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Zufriedenstellender Versteigerungsverlauf</w:t>
      </w:r>
      <w:r w:rsidR="000076CF">
        <w:rPr>
          <w:rFonts w:ascii="Arial" w:hAnsi="Arial" w:cs="Arial"/>
          <w:sz w:val="24"/>
          <w:u w:val="single"/>
        </w:rPr>
        <w:t>!</w:t>
      </w:r>
    </w:p>
    <w:p w:rsidR="00387DCD" w:rsidRDefault="00387D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8"/>
          <w:szCs w:val="8"/>
        </w:rPr>
      </w:pPr>
    </w:p>
    <w:p w:rsidR="00CD6E73" w:rsidRPr="00A635EF" w:rsidRDefault="00CD6E73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8"/>
          <w:szCs w:val="8"/>
        </w:rPr>
      </w:pPr>
    </w:p>
    <w:p w:rsidR="004E15BC" w:rsidRDefault="00C108AB" w:rsidP="00FD2ADC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Bei der Zuchtrinderversteigerung vom </w:t>
      </w:r>
      <w:r w:rsidR="0084528F">
        <w:rPr>
          <w:rFonts w:ascii="Arial" w:hAnsi="Arial" w:cs="Arial"/>
          <w:sz w:val="21"/>
        </w:rPr>
        <w:t>02. November</w:t>
      </w:r>
      <w:r>
        <w:rPr>
          <w:rFonts w:ascii="Arial" w:hAnsi="Arial" w:cs="Arial"/>
          <w:sz w:val="21"/>
        </w:rPr>
        <w:t xml:space="preserve"> </w:t>
      </w:r>
      <w:r w:rsidR="00E153BB">
        <w:rPr>
          <w:rFonts w:ascii="Arial" w:hAnsi="Arial" w:cs="Arial"/>
          <w:sz w:val="21"/>
        </w:rPr>
        <w:t xml:space="preserve">war das Angebot </w:t>
      </w:r>
      <w:r w:rsidR="0084528F">
        <w:rPr>
          <w:rFonts w:ascii="Arial" w:hAnsi="Arial" w:cs="Arial"/>
          <w:sz w:val="21"/>
        </w:rPr>
        <w:t>erneut auf einem hohen Niveau</w:t>
      </w:r>
      <w:r>
        <w:rPr>
          <w:rFonts w:ascii="Arial" w:hAnsi="Arial" w:cs="Arial"/>
          <w:sz w:val="21"/>
        </w:rPr>
        <w:t>.</w:t>
      </w:r>
      <w:r w:rsidR="003A139E">
        <w:rPr>
          <w:rFonts w:ascii="Arial" w:hAnsi="Arial" w:cs="Arial"/>
          <w:sz w:val="21"/>
        </w:rPr>
        <w:t xml:space="preserve"> </w:t>
      </w:r>
      <w:r w:rsidR="0084528F">
        <w:rPr>
          <w:rFonts w:ascii="Arial" w:hAnsi="Arial" w:cs="Arial"/>
          <w:sz w:val="21"/>
        </w:rPr>
        <w:t>Nach wie vor ist die Vermarktungslage für qualitativ hochwertiges Zuchtvieh sehr gut, auch wenn die Durchschnittspreise im Vergleich zur letzten Versteigerung etwas nachgegeben haben</w:t>
      </w:r>
      <w:r w:rsidR="00A43DB6">
        <w:rPr>
          <w:rFonts w:ascii="Arial" w:hAnsi="Arial" w:cs="Arial"/>
          <w:sz w:val="21"/>
        </w:rPr>
        <w:t>.</w:t>
      </w:r>
      <w:r w:rsidR="00A778BA">
        <w:rPr>
          <w:rFonts w:ascii="Arial" w:hAnsi="Arial" w:cs="Arial"/>
          <w:sz w:val="21"/>
        </w:rPr>
        <w:t xml:space="preserve"> Wir ersuchen daher unsere Mitgliedsbetriebe, das Serviceangebot in </w:t>
      </w:r>
      <w:proofErr w:type="spellStart"/>
      <w:r w:rsidR="00A778BA">
        <w:rPr>
          <w:rFonts w:ascii="Arial" w:hAnsi="Arial" w:cs="Arial"/>
          <w:sz w:val="21"/>
        </w:rPr>
        <w:t>Regau</w:t>
      </w:r>
      <w:proofErr w:type="spellEnd"/>
      <w:r w:rsidR="00A778BA">
        <w:rPr>
          <w:rFonts w:ascii="Arial" w:hAnsi="Arial" w:cs="Arial"/>
          <w:sz w:val="21"/>
        </w:rPr>
        <w:t xml:space="preserve"> zu nutzen und ihre Zuchtrinder über die Versteigerung zu vermarkten.</w:t>
      </w:r>
      <w:r w:rsidR="00E153BB">
        <w:rPr>
          <w:rFonts w:ascii="Arial" w:hAnsi="Arial" w:cs="Arial"/>
          <w:sz w:val="21"/>
        </w:rPr>
        <w:t xml:space="preserve"> Die nächste Zuchtrinderversteigerung findet am </w:t>
      </w:r>
      <w:r w:rsidR="00B44CE0">
        <w:rPr>
          <w:rFonts w:ascii="Arial" w:hAnsi="Arial" w:cs="Arial"/>
          <w:sz w:val="21"/>
        </w:rPr>
        <w:t>Dienstag 6. Dezember</w:t>
      </w:r>
      <w:bookmarkStart w:id="0" w:name="_GoBack"/>
      <w:bookmarkEnd w:id="0"/>
      <w:r w:rsidR="00E153BB">
        <w:rPr>
          <w:rFonts w:ascii="Arial" w:hAnsi="Arial" w:cs="Arial"/>
          <w:sz w:val="21"/>
        </w:rPr>
        <w:t xml:space="preserve"> statt.</w:t>
      </w:r>
      <w:r w:rsidR="00B52554">
        <w:rPr>
          <w:rFonts w:ascii="Arial" w:hAnsi="Arial" w:cs="Arial"/>
          <w:sz w:val="21"/>
        </w:rPr>
        <w:t xml:space="preserve"> Wir rechnen hier mit einer </w:t>
      </w:r>
      <w:r w:rsidR="00A43DB6">
        <w:rPr>
          <w:rFonts w:ascii="Arial" w:hAnsi="Arial" w:cs="Arial"/>
          <w:sz w:val="21"/>
        </w:rPr>
        <w:t>weiterhin sehr guten Nachfrage sowohl für den Inlandsmarkt als auch für den Zuchtrinderexport</w:t>
      </w:r>
      <w:r w:rsidR="00B52554">
        <w:rPr>
          <w:rFonts w:ascii="Arial" w:hAnsi="Arial" w:cs="Arial"/>
          <w:sz w:val="21"/>
        </w:rPr>
        <w:t>.</w:t>
      </w:r>
    </w:p>
    <w:p w:rsidR="004273B1" w:rsidRDefault="0084528F" w:rsidP="00FD2ADC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Die 24 angebotenen Kühe in Milch waren was Gewicht und Milchleistung betrifft sehr unterschiedlich. Dementsprechend variierte auch die Preisbildung. Kühe mit Mängelansagen (erhöhte Zellzahl) waren zwar </w:t>
      </w:r>
      <w:proofErr w:type="spellStart"/>
      <w:r>
        <w:rPr>
          <w:rFonts w:ascii="Arial" w:hAnsi="Arial" w:cs="Arial"/>
          <w:sz w:val="21"/>
        </w:rPr>
        <w:t>verkaufbar</w:t>
      </w:r>
      <w:proofErr w:type="spellEnd"/>
      <w:r>
        <w:rPr>
          <w:rFonts w:ascii="Arial" w:hAnsi="Arial" w:cs="Arial"/>
          <w:sz w:val="21"/>
        </w:rPr>
        <w:t>, allerdings nur mit Preisabschlägen. Für Spitzenqualitäten waren auch wieder Preise bis € 2.520,- netto erzielbar</w:t>
      </w:r>
      <w:r w:rsidR="00CA168C">
        <w:rPr>
          <w:rFonts w:ascii="Arial" w:hAnsi="Arial" w:cs="Arial"/>
          <w:sz w:val="21"/>
        </w:rPr>
        <w:t xml:space="preserve">. </w:t>
      </w:r>
      <w:r w:rsidR="00A43DB6">
        <w:rPr>
          <w:rFonts w:ascii="Arial" w:hAnsi="Arial" w:cs="Arial"/>
          <w:sz w:val="21"/>
        </w:rPr>
        <w:t>Auch trächt</w:t>
      </w:r>
      <w:r w:rsidR="00CA168C">
        <w:rPr>
          <w:rFonts w:ascii="Arial" w:hAnsi="Arial" w:cs="Arial"/>
          <w:sz w:val="21"/>
        </w:rPr>
        <w:t xml:space="preserve">ige Kalbinnen waren </w:t>
      </w:r>
      <w:r w:rsidR="004E15BC">
        <w:rPr>
          <w:rFonts w:ascii="Arial" w:hAnsi="Arial" w:cs="Arial"/>
          <w:sz w:val="21"/>
        </w:rPr>
        <w:t>sehr gut nachgefragt</w:t>
      </w:r>
      <w:r w:rsidR="00CA168C">
        <w:rPr>
          <w:rFonts w:ascii="Arial" w:hAnsi="Arial" w:cs="Arial"/>
          <w:sz w:val="21"/>
        </w:rPr>
        <w:t xml:space="preserve">. </w:t>
      </w:r>
      <w:r w:rsidR="00C45E1A">
        <w:rPr>
          <w:rFonts w:ascii="Arial" w:hAnsi="Arial" w:cs="Arial"/>
          <w:sz w:val="21"/>
        </w:rPr>
        <w:t>Gesucht</w:t>
      </w:r>
      <w:r w:rsidR="00CA168C">
        <w:rPr>
          <w:rFonts w:ascii="Arial" w:hAnsi="Arial" w:cs="Arial"/>
          <w:sz w:val="21"/>
        </w:rPr>
        <w:t xml:space="preserve"> waren vor allem sehr gut entwickelte Tiere mit über 600 kg Gewicht und deutlich überdurchschnittlichen Leistungen. </w:t>
      </w:r>
    </w:p>
    <w:p w:rsidR="00387DCD" w:rsidRDefault="0084528F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23</w:t>
      </w:r>
      <w:r w:rsidR="00387DCD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b/>
          <w:bCs/>
          <w:sz w:val="21"/>
        </w:rPr>
        <w:t>Kühe</w:t>
      </w:r>
      <w:r w:rsidR="00387DCD">
        <w:rPr>
          <w:rFonts w:ascii="Arial" w:hAnsi="Arial" w:cs="Arial"/>
          <w:sz w:val="21"/>
        </w:rPr>
        <w:t xml:space="preserve"> in</w:t>
      </w:r>
      <w:r w:rsidR="005F2DC6">
        <w:rPr>
          <w:rFonts w:ascii="Arial" w:hAnsi="Arial" w:cs="Arial"/>
          <w:sz w:val="21"/>
        </w:rPr>
        <w:t xml:space="preserve"> </w:t>
      </w:r>
      <w:r w:rsidR="00CC7334">
        <w:rPr>
          <w:rFonts w:ascii="Arial" w:hAnsi="Arial" w:cs="Arial"/>
          <w:sz w:val="21"/>
        </w:rPr>
        <w:t>durchschnittlicher</w:t>
      </w:r>
      <w:r w:rsidR="0034756A">
        <w:rPr>
          <w:rFonts w:ascii="Arial" w:hAnsi="Arial" w:cs="Arial"/>
          <w:sz w:val="21"/>
        </w:rPr>
        <w:t xml:space="preserve"> Qualität</w:t>
      </w:r>
      <w:r w:rsidR="00387DCD">
        <w:rPr>
          <w:rFonts w:ascii="Arial" w:hAnsi="Arial" w:cs="Arial"/>
          <w:sz w:val="21"/>
        </w:rPr>
        <w:t xml:space="preserve"> (</w:t>
      </w:r>
      <w:r w:rsidR="00A778BA">
        <w:rPr>
          <w:rFonts w:ascii="Arial" w:hAnsi="Arial" w:cs="Arial"/>
          <w:sz w:val="21"/>
        </w:rPr>
        <w:t xml:space="preserve">über </w:t>
      </w:r>
      <w:r>
        <w:rPr>
          <w:rFonts w:ascii="Arial" w:hAnsi="Arial" w:cs="Arial"/>
          <w:sz w:val="21"/>
        </w:rPr>
        <w:t>26,8</w:t>
      </w:r>
      <w:r w:rsidR="00D85EE5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sz w:val="21"/>
        </w:rPr>
        <w:t xml:space="preserve">l garantierte Eigenmessung im Schnitt) kosteten im Schnitt € </w:t>
      </w:r>
      <w:r>
        <w:rPr>
          <w:rFonts w:ascii="Arial" w:hAnsi="Arial" w:cs="Arial"/>
          <w:sz w:val="21"/>
        </w:rPr>
        <w:t>1.920,-</w:t>
      </w:r>
      <w:r w:rsidR="00ED0B19">
        <w:rPr>
          <w:rFonts w:ascii="Arial" w:hAnsi="Arial" w:cs="Arial"/>
          <w:sz w:val="21"/>
        </w:rPr>
        <w:t xml:space="preserve"> </w:t>
      </w:r>
      <w:r w:rsidR="003E556E">
        <w:rPr>
          <w:rFonts w:ascii="Arial" w:hAnsi="Arial" w:cs="Arial"/>
          <w:sz w:val="21"/>
        </w:rPr>
        <w:t>(</w:t>
      </w:r>
      <w:r>
        <w:rPr>
          <w:rFonts w:ascii="Arial" w:hAnsi="Arial" w:cs="Arial"/>
          <w:sz w:val="21"/>
        </w:rPr>
        <w:t>-</w:t>
      </w:r>
      <w:r w:rsidR="00F20875">
        <w:rPr>
          <w:rFonts w:ascii="Arial" w:hAnsi="Arial" w:cs="Arial"/>
          <w:sz w:val="21"/>
        </w:rPr>
        <w:t>€</w:t>
      </w:r>
      <w:r w:rsidR="00D27778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262,73</w:t>
      </w:r>
      <w:r w:rsidR="00441C71">
        <w:rPr>
          <w:rFonts w:ascii="Arial" w:hAnsi="Arial" w:cs="Arial"/>
          <w:sz w:val="21"/>
        </w:rPr>
        <w:t>)</w:t>
      </w:r>
      <w:r w:rsidR="00387DCD">
        <w:rPr>
          <w:rFonts w:ascii="Arial" w:hAnsi="Arial" w:cs="Arial"/>
          <w:sz w:val="21"/>
        </w:rPr>
        <w:t xml:space="preserve">. </w:t>
      </w:r>
      <w:r w:rsidR="00FD3E10">
        <w:rPr>
          <w:rFonts w:ascii="Arial" w:hAnsi="Arial" w:cs="Arial"/>
          <w:sz w:val="21"/>
        </w:rPr>
        <w:t xml:space="preserve">Den Höchstpreis von € </w:t>
      </w:r>
      <w:r w:rsidR="00E153BB">
        <w:rPr>
          <w:rFonts w:ascii="Arial" w:hAnsi="Arial" w:cs="Arial"/>
          <w:sz w:val="21"/>
        </w:rPr>
        <w:t>2.</w:t>
      </w:r>
      <w:r>
        <w:rPr>
          <w:rFonts w:ascii="Arial" w:hAnsi="Arial" w:cs="Arial"/>
          <w:sz w:val="21"/>
        </w:rPr>
        <w:t>52</w:t>
      </w:r>
      <w:r w:rsidR="00E153BB">
        <w:rPr>
          <w:rFonts w:ascii="Arial" w:hAnsi="Arial" w:cs="Arial"/>
          <w:sz w:val="21"/>
        </w:rPr>
        <w:t>0</w:t>
      </w:r>
      <w:r w:rsidR="00FD3E10">
        <w:rPr>
          <w:rFonts w:ascii="Arial" w:hAnsi="Arial" w:cs="Arial"/>
          <w:sz w:val="21"/>
        </w:rPr>
        <w:t xml:space="preserve">,- netto erzielte </w:t>
      </w:r>
      <w:r w:rsidR="00092BEF">
        <w:rPr>
          <w:rFonts w:ascii="Arial" w:hAnsi="Arial" w:cs="Arial"/>
          <w:sz w:val="21"/>
        </w:rPr>
        <w:t xml:space="preserve">der </w:t>
      </w:r>
      <w:r w:rsidR="00B52554">
        <w:rPr>
          <w:rFonts w:ascii="Arial" w:hAnsi="Arial" w:cs="Arial"/>
          <w:sz w:val="21"/>
        </w:rPr>
        <w:t xml:space="preserve">Betrieb </w:t>
      </w:r>
      <w:r>
        <w:rPr>
          <w:rFonts w:ascii="Arial" w:hAnsi="Arial" w:cs="Arial"/>
          <w:sz w:val="21"/>
        </w:rPr>
        <w:t>Pendl aus Laakirchen</w:t>
      </w:r>
      <w:r w:rsidR="00A778BA">
        <w:rPr>
          <w:rFonts w:ascii="Arial" w:hAnsi="Arial" w:cs="Arial"/>
          <w:sz w:val="21"/>
        </w:rPr>
        <w:t xml:space="preserve"> </w:t>
      </w:r>
      <w:r w:rsidR="00092BEF">
        <w:rPr>
          <w:rFonts w:ascii="Arial" w:hAnsi="Arial" w:cs="Arial"/>
          <w:sz w:val="21"/>
        </w:rPr>
        <w:t xml:space="preserve">für eine </w:t>
      </w:r>
      <w:r w:rsidR="00E30D44">
        <w:rPr>
          <w:rFonts w:ascii="Arial" w:hAnsi="Arial" w:cs="Arial"/>
          <w:sz w:val="21"/>
        </w:rPr>
        <w:t>euterstarke</w:t>
      </w:r>
      <w:r w:rsidR="00A43DB6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Mint</w:t>
      </w:r>
      <w:r w:rsidR="00092BEF">
        <w:rPr>
          <w:rFonts w:ascii="Arial" w:hAnsi="Arial" w:cs="Arial"/>
          <w:sz w:val="21"/>
        </w:rPr>
        <w:t>-Tochter</w:t>
      </w:r>
      <w:r w:rsidR="00E10E30">
        <w:rPr>
          <w:rFonts w:ascii="Arial" w:hAnsi="Arial" w:cs="Arial"/>
          <w:sz w:val="21"/>
        </w:rPr>
        <w:t xml:space="preserve"> </w:t>
      </w:r>
      <w:r w:rsidR="00A778BA">
        <w:rPr>
          <w:rFonts w:ascii="Arial" w:hAnsi="Arial" w:cs="Arial"/>
          <w:sz w:val="21"/>
        </w:rPr>
        <w:t xml:space="preserve">mit </w:t>
      </w:r>
      <w:r w:rsidR="00B52554">
        <w:rPr>
          <w:rFonts w:ascii="Arial" w:hAnsi="Arial" w:cs="Arial"/>
          <w:sz w:val="21"/>
        </w:rPr>
        <w:t>3</w:t>
      </w:r>
      <w:r>
        <w:rPr>
          <w:rFonts w:ascii="Arial" w:hAnsi="Arial" w:cs="Arial"/>
          <w:sz w:val="21"/>
        </w:rPr>
        <w:t>2</w:t>
      </w:r>
      <w:r w:rsidR="00E153BB">
        <w:rPr>
          <w:rFonts w:ascii="Arial" w:hAnsi="Arial" w:cs="Arial"/>
          <w:sz w:val="21"/>
        </w:rPr>
        <w:t xml:space="preserve"> </w:t>
      </w:r>
      <w:r w:rsidR="00A778BA">
        <w:rPr>
          <w:rFonts w:ascii="Arial" w:hAnsi="Arial" w:cs="Arial"/>
          <w:sz w:val="21"/>
        </w:rPr>
        <w:t>l garantierter Milchmenge</w:t>
      </w:r>
      <w:r w:rsidR="00092BEF">
        <w:rPr>
          <w:rFonts w:ascii="Arial" w:hAnsi="Arial" w:cs="Arial"/>
          <w:sz w:val="21"/>
        </w:rPr>
        <w:t>.</w:t>
      </w:r>
      <w:r w:rsidR="00A778BA">
        <w:rPr>
          <w:rFonts w:ascii="Arial" w:hAnsi="Arial" w:cs="Arial"/>
          <w:sz w:val="21"/>
        </w:rPr>
        <w:t xml:space="preserve"> Insgesamt </w:t>
      </w:r>
      <w:r w:rsidR="00072083">
        <w:rPr>
          <w:rFonts w:ascii="Arial" w:hAnsi="Arial" w:cs="Arial"/>
          <w:sz w:val="21"/>
        </w:rPr>
        <w:t>9</w:t>
      </w:r>
      <w:r w:rsidR="00A778BA">
        <w:rPr>
          <w:rFonts w:ascii="Arial" w:hAnsi="Arial" w:cs="Arial"/>
          <w:sz w:val="21"/>
        </w:rPr>
        <w:t xml:space="preserve"> verkaufte Kühe erzielten Preise über € 2.000,- netto.</w:t>
      </w:r>
    </w:p>
    <w:p w:rsidR="00387DCD" w:rsidRPr="00F32759" w:rsidRDefault="00387D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12"/>
          <w:szCs w:val="12"/>
        </w:rPr>
      </w:pPr>
    </w:p>
    <w:p w:rsidR="001E613C" w:rsidRDefault="0095017E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Der Durchschnittspreis der </w:t>
      </w:r>
      <w:r w:rsidR="00072083">
        <w:rPr>
          <w:rFonts w:ascii="Arial" w:hAnsi="Arial" w:cs="Arial"/>
          <w:sz w:val="21"/>
        </w:rPr>
        <w:t>79</w:t>
      </w:r>
      <w:r w:rsidR="009174E1">
        <w:rPr>
          <w:rFonts w:ascii="Arial" w:hAnsi="Arial" w:cs="Arial"/>
          <w:sz w:val="21"/>
        </w:rPr>
        <w:t xml:space="preserve"> </w:t>
      </w:r>
      <w:r w:rsidR="00962243">
        <w:rPr>
          <w:rFonts w:ascii="Arial" w:hAnsi="Arial" w:cs="Arial"/>
          <w:sz w:val="21"/>
        </w:rPr>
        <w:t>verkauften</w:t>
      </w:r>
      <w:r w:rsidR="000A284B">
        <w:rPr>
          <w:rFonts w:ascii="Arial" w:hAnsi="Arial" w:cs="Arial"/>
          <w:sz w:val="21"/>
        </w:rPr>
        <w:t xml:space="preserve"> </w:t>
      </w:r>
      <w:r w:rsidR="00387DCD">
        <w:rPr>
          <w:rFonts w:ascii="Arial" w:hAnsi="Arial" w:cs="Arial"/>
          <w:b/>
          <w:bCs/>
          <w:sz w:val="21"/>
        </w:rPr>
        <w:t>Kalbinnen</w:t>
      </w:r>
      <w:r w:rsidR="00F53D14">
        <w:rPr>
          <w:rFonts w:ascii="Arial" w:hAnsi="Arial" w:cs="Arial"/>
          <w:bCs/>
          <w:sz w:val="21"/>
        </w:rPr>
        <w:t xml:space="preserve"> </w:t>
      </w:r>
      <w:r w:rsidR="00925555">
        <w:rPr>
          <w:rFonts w:ascii="Arial" w:hAnsi="Arial" w:cs="Arial"/>
          <w:bCs/>
          <w:sz w:val="21"/>
        </w:rPr>
        <w:t xml:space="preserve">war mit </w:t>
      </w:r>
      <w:r w:rsidR="006103B0">
        <w:rPr>
          <w:rFonts w:ascii="Arial" w:hAnsi="Arial" w:cs="Arial"/>
          <w:bCs/>
          <w:sz w:val="21"/>
        </w:rPr>
        <w:t xml:space="preserve">€ </w:t>
      </w:r>
      <w:r w:rsidR="00072083">
        <w:rPr>
          <w:rFonts w:ascii="Arial" w:hAnsi="Arial" w:cs="Arial"/>
          <w:bCs/>
          <w:sz w:val="21"/>
        </w:rPr>
        <w:t>1.983,55</w:t>
      </w:r>
      <w:r w:rsidR="00150E15">
        <w:rPr>
          <w:rFonts w:ascii="Arial" w:hAnsi="Arial" w:cs="Arial"/>
          <w:bCs/>
          <w:sz w:val="21"/>
        </w:rPr>
        <w:t xml:space="preserve"> </w:t>
      </w:r>
      <w:r w:rsidR="00956092">
        <w:rPr>
          <w:rFonts w:ascii="Arial" w:hAnsi="Arial" w:cs="Arial"/>
          <w:bCs/>
          <w:sz w:val="21"/>
        </w:rPr>
        <w:t>(</w:t>
      </w:r>
      <w:r w:rsidR="00072083">
        <w:rPr>
          <w:rFonts w:ascii="Arial" w:hAnsi="Arial" w:cs="Arial"/>
          <w:bCs/>
          <w:sz w:val="21"/>
        </w:rPr>
        <w:t>-</w:t>
      </w:r>
      <w:r w:rsidR="004F4A11">
        <w:rPr>
          <w:rFonts w:ascii="Arial" w:hAnsi="Arial" w:cs="Arial"/>
          <w:bCs/>
          <w:sz w:val="21"/>
        </w:rPr>
        <w:t xml:space="preserve"> </w:t>
      </w:r>
      <w:r w:rsidR="00B14053">
        <w:rPr>
          <w:rFonts w:ascii="Arial" w:hAnsi="Arial" w:cs="Arial"/>
          <w:bCs/>
          <w:sz w:val="21"/>
        </w:rPr>
        <w:t>€</w:t>
      </w:r>
      <w:r w:rsidR="00FF0F40">
        <w:rPr>
          <w:rFonts w:ascii="Arial" w:hAnsi="Arial" w:cs="Arial"/>
          <w:bCs/>
          <w:sz w:val="21"/>
        </w:rPr>
        <w:t xml:space="preserve"> </w:t>
      </w:r>
      <w:r w:rsidR="00072083">
        <w:rPr>
          <w:rFonts w:ascii="Arial" w:hAnsi="Arial" w:cs="Arial"/>
          <w:bCs/>
          <w:sz w:val="21"/>
        </w:rPr>
        <w:t>66,02</w:t>
      </w:r>
      <w:r w:rsidR="00B52554">
        <w:rPr>
          <w:rFonts w:ascii="Arial" w:hAnsi="Arial" w:cs="Arial"/>
          <w:bCs/>
          <w:sz w:val="21"/>
        </w:rPr>
        <w:t xml:space="preserve">) </w:t>
      </w:r>
      <w:r w:rsidR="00072083">
        <w:rPr>
          <w:rFonts w:ascii="Arial" w:hAnsi="Arial" w:cs="Arial"/>
          <w:bCs/>
          <w:sz w:val="21"/>
        </w:rPr>
        <w:t>leicht rückläufig</w:t>
      </w:r>
      <w:r w:rsidR="0082005E">
        <w:rPr>
          <w:rFonts w:ascii="Arial" w:hAnsi="Arial" w:cs="Arial"/>
          <w:bCs/>
          <w:sz w:val="21"/>
        </w:rPr>
        <w:t>.</w:t>
      </w:r>
      <w:r w:rsidR="00E10E30">
        <w:rPr>
          <w:rFonts w:ascii="Arial" w:hAnsi="Arial" w:cs="Arial"/>
          <w:bCs/>
          <w:sz w:val="21"/>
        </w:rPr>
        <w:t xml:space="preserve"> </w:t>
      </w:r>
      <w:r w:rsidR="004913CA">
        <w:rPr>
          <w:rFonts w:ascii="Arial" w:hAnsi="Arial" w:cs="Arial"/>
          <w:sz w:val="21"/>
        </w:rPr>
        <w:t>Die Qualität war</w:t>
      </w:r>
      <w:r w:rsidR="00F17F31">
        <w:rPr>
          <w:rFonts w:ascii="Arial" w:hAnsi="Arial" w:cs="Arial"/>
          <w:sz w:val="21"/>
        </w:rPr>
        <w:t>,</w:t>
      </w:r>
      <w:r w:rsidR="004913CA">
        <w:rPr>
          <w:rFonts w:ascii="Arial" w:hAnsi="Arial" w:cs="Arial"/>
          <w:sz w:val="21"/>
        </w:rPr>
        <w:t xml:space="preserve"> </w:t>
      </w:r>
      <w:r w:rsidR="00CC3CD6">
        <w:rPr>
          <w:rFonts w:ascii="Arial" w:hAnsi="Arial" w:cs="Arial"/>
          <w:sz w:val="21"/>
        </w:rPr>
        <w:t xml:space="preserve">speziell was die körperliche Entwicklung der Tiere </w:t>
      </w:r>
      <w:r w:rsidR="00F17F31">
        <w:rPr>
          <w:rFonts w:ascii="Arial" w:hAnsi="Arial" w:cs="Arial"/>
          <w:sz w:val="21"/>
        </w:rPr>
        <w:t xml:space="preserve">betrifft, </w:t>
      </w:r>
      <w:r w:rsidR="00B52554">
        <w:rPr>
          <w:rFonts w:ascii="Arial" w:hAnsi="Arial" w:cs="Arial"/>
          <w:sz w:val="21"/>
        </w:rPr>
        <w:t>sehr unterschiedlich, was sich auch in der Preisbildung wiederspiegelte</w:t>
      </w:r>
      <w:r w:rsidR="004913CA">
        <w:rPr>
          <w:rFonts w:ascii="Arial" w:hAnsi="Arial" w:cs="Arial"/>
          <w:sz w:val="21"/>
        </w:rPr>
        <w:t>.</w:t>
      </w:r>
      <w:r w:rsidR="003458E6">
        <w:rPr>
          <w:rFonts w:ascii="Arial" w:hAnsi="Arial" w:cs="Arial"/>
          <w:sz w:val="21"/>
        </w:rPr>
        <w:t xml:space="preserve"> </w:t>
      </w:r>
      <w:r w:rsidR="00A778BA">
        <w:rPr>
          <w:rFonts w:ascii="Arial" w:hAnsi="Arial" w:cs="Arial"/>
          <w:sz w:val="21"/>
        </w:rPr>
        <w:t xml:space="preserve">Exportankäufe konnten für </w:t>
      </w:r>
      <w:r w:rsidR="008A520F">
        <w:rPr>
          <w:rFonts w:ascii="Arial" w:hAnsi="Arial" w:cs="Arial"/>
          <w:sz w:val="21"/>
        </w:rPr>
        <w:t xml:space="preserve">Algerien, </w:t>
      </w:r>
      <w:r w:rsidR="00072083">
        <w:rPr>
          <w:rFonts w:ascii="Arial" w:hAnsi="Arial" w:cs="Arial"/>
          <w:sz w:val="21"/>
        </w:rPr>
        <w:t>Aserbaidschan</w:t>
      </w:r>
      <w:r w:rsidR="008A520F">
        <w:rPr>
          <w:rFonts w:ascii="Arial" w:hAnsi="Arial" w:cs="Arial"/>
          <w:sz w:val="21"/>
        </w:rPr>
        <w:t xml:space="preserve"> und die Türkei </w:t>
      </w:r>
      <w:r w:rsidR="00072083">
        <w:rPr>
          <w:rFonts w:ascii="Arial" w:hAnsi="Arial" w:cs="Arial"/>
          <w:sz w:val="21"/>
        </w:rPr>
        <w:t xml:space="preserve">getätigt werden. Besonders die Firma Schalk sorgte mit einem umfangreichen Ankauf für einen flotten Marktverlauf. </w:t>
      </w:r>
      <w:r w:rsidR="00B52554">
        <w:rPr>
          <w:rFonts w:ascii="Arial" w:hAnsi="Arial" w:cs="Arial"/>
          <w:sz w:val="21"/>
        </w:rPr>
        <w:t xml:space="preserve">Wir rechnen hier bei den nächsten Märkten mit einer </w:t>
      </w:r>
      <w:r w:rsidR="008A520F">
        <w:rPr>
          <w:rFonts w:ascii="Arial" w:hAnsi="Arial" w:cs="Arial"/>
          <w:sz w:val="21"/>
        </w:rPr>
        <w:t>guten</w:t>
      </w:r>
      <w:r w:rsidR="00B52554">
        <w:rPr>
          <w:rFonts w:ascii="Arial" w:hAnsi="Arial" w:cs="Arial"/>
          <w:sz w:val="21"/>
        </w:rPr>
        <w:t xml:space="preserve"> Nachfrage</w:t>
      </w:r>
      <w:r w:rsidR="007218E8">
        <w:rPr>
          <w:rFonts w:ascii="Arial" w:hAnsi="Arial" w:cs="Arial"/>
          <w:sz w:val="21"/>
        </w:rPr>
        <w:t>.</w:t>
      </w:r>
      <w:r w:rsidR="00A778BA">
        <w:rPr>
          <w:rFonts w:ascii="Arial" w:hAnsi="Arial" w:cs="Arial"/>
          <w:sz w:val="21"/>
        </w:rPr>
        <w:t xml:space="preserve"> </w:t>
      </w:r>
      <w:r w:rsidR="00072083">
        <w:rPr>
          <w:rFonts w:ascii="Arial" w:hAnsi="Arial" w:cs="Arial"/>
          <w:sz w:val="21"/>
        </w:rPr>
        <w:t xml:space="preserve">Außergewöhnliche Preisspitzen blieben diesmal aus, jedoch konnten mehr als die Hälfte der angebotenen Kalbinnen einen Preis von über € 2.000,- netto erzielen. Den Höchstpreis von € 2.160,- konnte der Betrieb Obermaier aus </w:t>
      </w:r>
      <w:proofErr w:type="spellStart"/>
      <w:r w:rsidR="00072083">
        <w:rPr>
          <w:rFonts w:ascii="Arial" w:hAnsi="Arial" w:cs="Arial"/>
          <w:sz w:val="21"/>
        </w:rPr>
        <w:t>Atzbach</w:t>
      </w:r>
      <w:proofErr w:type="spellEnd"/>
      <w:r w:rsidR="00072083">
        <w:rPr>
          <w:rFonts w:ascii="Arial" w:hAnsi="Arial" w:cs="Arial"/>
          <w:sz w:val="21"/>
        </w:rPr>
        <w:t xml:space="preserve"> für eine sehr gut entwickelte </w:t>
      </w:r>
      <w:proofErr w:type="spellStart"/>
      <w:r w:rsidR="00072083">
        <w:rPr>
          <w:rFonts w:ascii="Arial" w:hAnsi="Arial" w:cs="Arial"/>
          <w:sz w:val="21"/>
        </w:rPr>
        <w:t>Wimpert</w:t>
      </w:r>
      <w:proofErr w:type="spellEnd"/>
      <w:r w:rsidR="00072083">
        <w:rPr>
          <w:rFonts w:ascii="Arial" w:hAnsi="Arial" w:cs="Arial"/>
          <w:sz w:val="21"/>
        </w:rPr>
        <w:t xml:space="preserve">-Tochter mit einem Gewicht von 780 kg erzielen. </w:t>
      </w:r>
    </w:p>
    <w:p w:rsidR="00C45E1A" w:rsidRDefault="00C45E1A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jc w:val="both"/>
        <w:rPr>
          <w:rFonts w:ascii="Arial" w:hAnsi="Arial" w:cs="Arial"/>
          <w:sz w:val="21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284"/>
        <w:gridCol w:w="1997"/>
        <w:gridCol w:w="2567"/>
      </w:tblGrid>
      <w:tr w:rsidR="00387DCD" w:rsidTr="00A424B1">
        <w:trPr>
          <w:trHeight w:val="241"/>
        </w:trPr>
        <w:tc>
          <w:tcPr>
            <w:tcW w:w="3424" w:type="dxa"/>
          </w:tcPr>
          <w:p w:rsidR="00387DCD" w:rsidRDefault="00387DC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Zuchtrinder</w:t>
            </w:r>
          </w:p>
        </w:tc>
        <w:tc>
          <w:tcPr>
            <w:tcW w:w="1284" w:type="dxa"/>
          </w:tcPr>
          <w:p w:rsidR="00387DCD" w:rsidRDefault="00387DCD">
            <w:pPr>
              <w:tabs>
                <w:tab w:val="decimal" w:pos="781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Verkauf</w:t>
            </w:r>
          </w:p>
        </w:tc>
        <w:tc>
          <w:tcPr>
            <w:tcW w:w="1997" w:type="dxa"/>
          </w:tcPr>
          <w:p w:rsidR="00387DCD" w:rsidRDefault="00387DCD">
            <w:pPr>
              <w:tabs>
                <w:tab w:val="decimal" w:pos="1017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Ø-Preis netto</w:t>
            </w:r>
          </w:p>
        </w:tc>
        <w:tc>
          <w:tcPr>
            <w:tcW w:w="2567" w:type="dxa"/>
          </w:tcPr>
          <w:p w:rsidR="00387DCD" w:rsidRDefault="00387DCD">
            <w:pPr>
              <w:tabs>
                <w:tab w:val="decimal" w:pos="1489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Preise von - bis €</w:t>
            </w:r>
          </w:p>
        </w:tc>
      </w:tr>
      <w:tr w:rsidR="00387DCD" w:rsidTr="00A424B1">
        <w:trPr>
          <w:trHeight w:val="267"/>
        </w:trPr>
        <w:tc>
          <w:tcPr>
            <w:tcW w:w="3424" w:type="dxa"/>
          </w:tcPr>
          <w:p w:rsidR="00387DCD" w:rsidRDefault="00A6742F" w:rsidP="00A6742F">
            <w:pPr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Jungkühe</w:t>
            </w:r>
            <w:proofErr w:type="spellEnd"/>
          </w:p>
        </w:tc>
        <w:tc>
          <w:tcPr>
            <w:tcW w:w="1284" w:type="dxa"/>
          </w:tcPr>
          <w:p w:rsidR="00387DCD" w:rsidRDefault="00311CF3" w:rsidP="00436E2C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23</w:t>
            </w:r>
          </w:p>
        </w:tc>
        <w:tc>
          <w:tcPr>
            <w:tcW w:w="1997" w:type="dxa"/>
          </w:tcPr>
          <w:p w:rsidR="00387DCD" w:rsidRDefault="00311CF3" w:rsidP="00D27EB5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1.920,00</w:t>
            </w:r>
          </w:p>
        </w:tc>
        <w:tc>
          <w:tcPr>
            <w:tcW w:w="2567" w:type="dxa"/>
          </w:tcPr>
          <w:p w:rsidR="00387DCD" w:rsidRDefault="00311CF3" w:rsidP="00DD1CBC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1.500,00 – 2.520,00</w:t>
            </w:r>
          </w:p>
        </w:tc>
      </w:tr>
      <w:tr w:rsidR="00387DCD" w:rsidTr="00A424B1">
        <w:trPr>
          <w:trHeight w:val="241"/>
        </w:trPr>
        <w:tc>
          <w:tcPr>
            <w:tcW w:w="3424" w:type="dxa"/>
          </w:tcPr>
          <w:p w:rsidR="00387DCD" w:rsidRDefault="00104B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284" w:type="dxa"/>
          </w:tcPr>
          <w:p w:rsidR="00387DCD" w:rsidRDefault="00104B60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997" w:type="dxa"/>
          </w:tcPr>
          <w:p w:rsidR="00387DCD" w:rsidRDefault="00104B60" w:rsidP="00A07AA2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567" w:type="dxa"/>
          </w:tcPr>
          <w:p w:rsidR="00387DCD" w:rsidRDefault="00104B60" w:rsidP="00A07AA2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387DCD" w:rsidTr="00A424B1">
        <w:trPr>
          <w:trHeight w:val="241"/>
        </w:trPr>
        <w:tc>
          <w:tcPr>
            <w:tcW w:w="3424" w:type="dxa"/>
          </w:tcPr>
          <w:p w:rsidR="00387DCD" w:rsidRPr="00D673FE" w:rsidRDefault="00D673FE" w:rsidP="00AF3CD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Kalbinnen </w:t>
            </w:r>
            <w:r w:rsidR="008A74BD">
              <w:rPr>
                <w:rFonts w:ascii="Arial" w:hAnsi="Arial" w:cs="Arial"/>
                <w:b/>
                <w:sz w:val="22"/>
              </w:rPr>
              <w:t>klein</w:t>
            </w:r>
            <w:r w:rsidR="00D91D3B">
              <w:rPr>
                <w:rFonts w:ascii="Arial" w:hAnsi="Arial" w:cs="Arial"/>
                <w:b/>
                <w:sz w:val="22"/>
              </w:rPr>
              <w:t>trächtig</w:t>
            </w:r>
          </w:p>
        </w:tc>
        <w:tc>
          <w:tcPr>
            <w:tcW w:w="1284" w:type="dxa"/>
          </w:tcPr>
          <w:p w:rsidR="00387DCD" w:rsidRDefault="00311CF3" w:rsidP="00336B0C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56</w:t>
            </w:r>
          </w:p>
        </w:tc>
        <w:tc>
          <w:tcPr>
            <w:tcW w:w="1997" w:type="dxa"/>
          </w:tcPr>
          <w:p w:rsidR="00387DCD" w:rsidRDefault="00311CF3" w:rsidP="002605E4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1.971,43</w:t>
            </w:r>
          </w:p>
        </w:tc>
        <w:tc>
          <w:tcPr>
            <w:tcW w:w="2567" w:type="dxa"/>
          </w:tcPr>
          <w:p w:rsidR="00387DCD" w:rsidRDefault="00311CF3" w:rsidP="00A96908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1.600,00 – 2.160,00</w:t>
            </w:r>
          </w:p>
        </w:tc>
      </w:tr>
      <w:tr w:rsidR="00387DCD" w:rsidRPr="00F23918" w:rsidTr="00A424B1">
        <w:trPr>
          <w:trHeight w:val="241"/>
        </w:trPr>
        <w:tc>
          <w:tcPr>
            <w:tcW w:w="3424" w:type="dxa"/>
          </w:tcPr>
          <w:p w:rsidR="00387DCD" w:rsidRPr="00F23918" w:rsidRDefault="008A74BD" w:rsidP="00AF3CD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Kalbinnen höher trächtig</w:t>
            </w:r>
          </w:p>
        </w:tc>
        <w:tc>
          <w:tcPr>
            <w:tcW w:w="1284" w:type="dxa"/>
          </w:tcPr>
          <w:p w:rsidR="00387DCD" w:rsidRPr="00F23918" w:rsidRDefault="00311CF3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1997" w:type="dxa"/>
          </w:tcPr>
          <w:p w:rsidR="00387DCD" w:rsidRPr="00F23918" w:rsidRDefault="00311CF3" w:rsidP="00FC7B3E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2.013,04</w:t>
            </w:r>
          </w:p>
        </w:tc>
        <w:tc>
          <w:tcPr>
            <w:tcW w:w="2567" w:type="dxa"/>
          </w:tcPr>
          <w:p w:rsidR="00387DCD" w:rsidRPr="00F23918" w:rsidRDefault="00311CF3" w:rsidP="00A96908">
            <w:pPr>
              <w:tabs>
                <w:tab w:val="decimal" w:pos="10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1.660,00 – 2.140,00</w:t>
            </w:r>
          </w:p>
        </w:tc>
      </w:tr>
      <w:tr w:rsidR="009E7A5B" w:rsidTr="00A4284A">
        <w:trPr>
          <w:trHeight w:val="80"/>
        </w:trPr>
        <w:tc>
          <w:tcPr>
            <w:tcW w:w="3424" w:type="dxa"/>
          </w:tcPr>
          <w:p w:rsidR="009E7A5B" w:rsidRDefault="009E7A5B">
            <w:pPr>
              <w:rPr>
                <w:b/>
              </w:rPr>
            </w:pPr>
          </w:p>
        </w:tc>
        <w:tc>
          <w:tcPr>
            <w:tcW w:w="1284" w:type="dxa"/>
          </w:tcPr>
          <w:p w:rsidR="009E7A5B" w:rsidRDefault="009E7A5B">
            <w:pPr>
              <w:tabs>
                <w:tab w:val="decimal" w:pos="78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997" w:type="dxa"/>
          </w:tcPr>
          <w:p w:rsidR="009E7A5B" w:rsidRDefault="009E7A5B">
            <w:pPr>
              <w:tabs>
                <w:tab w:val="decimal" w:pos="1064"/>
              </w:tabs>
              <w:rPr>
                <w:b/>
              </w:rPr>
            </w:pPr>
          </w:p>
        </w:tc>
        <w:tc>
          <w:tcPr>
            <w:tcW w:w="2567" w:type="dxa"/>
          </w:tcPr>
          <w:p w:rsidR="009E7A5B" w:rsidRDefault="009E7A5B">
            <w:pPr>
              <w:tabs>
                <w:tab w:val="decimal" w:pos="1064"/>
              </w:tabs>
              <w:rPr>
                <w:b/>
              </w:rPr>
            </w:pPr>
          </w:p>
        </w:tc>
      </w:tr>
    </w:tbl>
    <w:p w:rsidR="00125F67" w:rsidRPr="00360427" w:rsidRDefault="00125F67" w:rsidP="006473C2">
      <w:pPr>
        <w:jc w:val="both"/>
        <w:rPr>
          <w:rFonts w:ascii="Arial" w:hAnsi="Arial" w:cs="Arial"/>
          <w:b/>
          <w:bCs/>
          <w:sz w:val="8"/>
          <w:szCs w:val="8"/>
        </w:rPr>
      </w:pPr>
    </w:p>
    <w:p w:rsidR="00D27EB5" w:rsidRDefault="00D27EB5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27EB5" w:rsidRDefault="00D27EB5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2D35F3" w:rsidRDefault="00DF3AF4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Die </w:t>
      </w:r>
      <w:r w:rsidR="000E1EF1">
        <w:rPr>
          <w:rFonts w:ascii="Arial" w:hAnsi="Arial" w:cs="Arial"/>
          <w:b/>
          <w:bCs/>
          <w:sz w:val="21"/>
          <w:szCs w:val="21"/>
        </w:rPr>
        <w:t>nächste</w:t>
      </w:r>
      <w:r>
        <w:rPr>
          <w:rFonts w:ascii="Arial" w:hAnsi="Arial" w:cs="Arial"/>
          <w:b/>
          <w:bCs/>
          <w:sz w:val="21"/>
          <w:szCs w:val="21"/>
        </w:rPr>
        <w:t xml:space="preserve"> Zuchtrinderversteigerung </w:t>
      </w:r>
      <w:r w:rsidR="008920B3">
        <w:rPr>
          <w:rFonts w:ascii="Arial" w:hAnsi="Arial" w:cs="Arial"/>
          <w:b/>
          <w:bCs/>
          <w:sz w:val="21"/>
          <w:szCs w:val="21"/>
        </w:rPr>
        <w:t xml:space="preserve">findet am </w:t>
      </w:r>
      <w:r w:rsidR="00311CF3">
        <w:rPr>
          <w:rFonts w:ascii="Arial" w:hAnsi="Arial" w:cs="Arial"/>
          <w:b/>
          <w:bCs/>
          <w:sz w:val="21"/>
          <w:szCs w:val="21"/>
        </w:rPr>
        <w:t>Dienstag, 06. Dezember</w:t>
      </w:r>
      <w:r>
        <w:rPr>
          <w:rFonts w:ascii="Arial" w:hAnsi="Arial" w:cs="Arial"/>
          <w:b/>
          <w:bCs/>
          <w:sz w:val="21"/>
          <w:szCs w:val="21"/>
        </w:rPr>
        <w:t xml:space="preserve"> statt. </w:t>
      </w:r>
    </w:p>
    <w:p w:rsidR="00602297" w:rsidRDefault="00602297" w:rsidP="006473C2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EB153A" w:rsidRDefault="00EB153A" w:rsidP="008A31D6">
      <w:pPr>
        <w:textAlignment w:val="auto"/>
        <w:rPr>
          <w:rFonts w:ascii="Arial" w:hAnsi="Arial" w:cs="Arial"/>
          <w:sz w:val="6"/>
          <w:szCs w:val="6"/>
        </w:rPr>
      </w:pPr>
    </w:p>
    <w:p w:rsidR="00D27EB5" w:rsidRPr="006473C2" w:rsidRDefault="00D27EB5" w:rsidP="008A31D6">
      <w:pPr>
        <w:textAlignment w:val="auto"/>
        <w:rPr>
          <w:rFonts w:ascii="Arial" w:hAnsi="Arial" w:cs="Arial"/>
          <w:sz w:val="6"/>
          <w:szCs w:val="6"/>
        </w:rPr>
      </w:pPr>
    </w:p>
    <w:p w:rsidR="00387DCD" w:rsidRDefault="00722685">
      <w:pPr>
        <w:jc w:val="right"/>
        <w:rPr>
          <w:rFonts w:ascii="Arial" w:hAnsi="Arial" w:cs="Arial"/>
          <w:i/>
          <w:sz w:val="18"/>
          <w:szCs w:val="18"/>
          <w:lang w:val="de-DE"/>
        </w:rPr>
      </w:pPr>
      <w:r w:rsidRPr="00F32759">
        <w:rPr>
          <w:rFonts w:ascii="Arial" w:hAnsi="Arial" w:cs="Arial"/>
          <w:i/>
          <w:sz w:val="18"/>
          <w:szCs w:val="18"/>
          <w:lang w:val="de-DE"/>
        </w:rPr>
        <w:t>Franz Gstöttinger</w:t>
      </w:r>
    </w:p>
    <w:p w:rsidR="00D27EB5" w:rsidRDefault="00D27EB5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0E1EF1" w:rsidRDefault="000E1EF1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0E1EF1" w:rsidRDefault="000E1EF1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0E1EF1" w:rsidRDefault="000E1EF1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0E1EF1" w:rsidRDefault="000E1EF1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C45E1A" w:rsidRDefault="00C45E1A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C45E1A" w:rsidRDefault="00C45E1A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F3AF4" w:rsidRDefault="00DF3AF4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F3AF4" w:rsidRDefault="00DF3AF4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F3AF4" w:rsidRDefault="00DF3AF4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F3AF4" w:rsidRDefault="00DF3AF4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F3AF4" w:rsidRDefault="00DF3AF4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C45E1A" w:rsidRDefault="00C45E1A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F3AF4" w:rsidRDefault="00DF3AF4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27EB5" w:rsidRDefault="00D27EB5">
      <w:pPr>
        <w:jc w:val="right"/>
        <w:rPr>
          <w:rFonts w:ascii="Arial" w:hAnsi="Arial" w:cs="Arial"/>
          <w:i/>
          <w:sz w:val="18"/>
          <w:szCs w:val="18"/>
          <w:lang w:val="de-DE"/>
        </w:rPr>
      </w:pPr>
    </w:p>
    <w:p w:rsidR="00D27EB5" w:rsidRPr="00F32759" w:rsidRDefault="00D27EB5">
      <w:pPr>
        <w:jc w:val="right"/>
        <w:rPr>
          <w:rFonts w:ascii="Arial" w:hAnsi="Arial" w:cs="Arial"/>
          <w:i/>
          <w:sz w:val="18"/>
          <w:szCs w:val="18"/>
          <w:lang w:val="it-IT"/>
        </w:rPr>
      </w:pPr>
    </w:p>
    <w:p w:rsidR="00387DCD" w:rsidRDefault="00387DCD">
      <w:pPr>
        <w:jc w:val="both"/>
        <w:rPr>
          <w:rFonts w:ascii="Arial" w:hAnsi="Arial" w:cs="Arial"/>
          <w:sz w:val="20"/>
          <w:lang w:val="it-IT"/>
        </w:rPr>
      </w:pPr>
    </w:p>
    <w:p w:rsidR="00387DCD" w:rsidRDefault="00BE31D0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lastRenderedPageBreak/>
        <w:drawing>
          <wp:inline distT="0" distB="0" distL="0" distR="0">
            <wp:extent cx="6391275" cy="1971675"/>
            <wp:effectExtent l="0" t="0" r="0" b="0"/>
            <wp:docPr id="1" name="Objekt 1" descr="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87DCD" w:rsidRDefault="00387DCD">
      <w:pPr>
        <w:rPr>
          <w:rFonts w:ascii="Trebuchet MS" w:hAnsi="Trebuchet MS"/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</w:tblGrid>
      <w:tr w:rsidR="00387DCD">
        <w:trPr>
          <w:cantSplit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387DCD" w:rsidP="000E1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ED0B19">
              <w:rPr>
                <w:rFonts w:ascii="Arial" w:hAnsi="Arial" w:cs="Arial"/>
                <w:sz w:val="20"/>
              </w:rPr>
              <w:t>202</w:t>
            </w:r>
            <w:r w:rsidR="000E1EF1">
              <w:rPr>
                <w:rFonts w:ascii="Arial" w:hAnsi="Arial" w:cs="Arial"/>
                <w:sz w:val="20"/>
              </w:rPr>
              <w:t>2</w:t>
            </w:r>
            <w:r w:rsidR="00ED0B19">
              <w:rPr>
                <w:rFonts w:ascii="Arial" w:hAnsi="Arial" w:cs="Arial"/>
                <w:sz w:val="20"/>
              </w:rPr>
              <w:t>/</w:t>
            </w:r>
            <w:r w:rsidR="005C3627">
              <w:rPr>
                <w:rFonts w:ascii="Arial" w:hAnsi="Arial" w:cs="Arial"/>
                <w:sz w:val="20"/>
              </w:rPr>
              <w:t>2</w:t>
            </w:r>
            <w:r w:rsidR="000E1EF1">
              <w:rPr>
                <w:rFonts w:ascii="Arial" w:hAnsi="Arial" w:cs="Arial"/>
                <w:sz w:val="20"/>
              </w:rPr>
              <w:t>1</w:t>
            </w:r>
          </w:p>
        </w:tc>
      </w:tr>
      <w:tr w:rsidR="00072083" w:rsidTr="00B14DB8">
        <w:trPr>
          <w:cantSplit/>
          <w:trHeight w:val="266"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17 (22)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2.282 (1.879)</w:t>
            </w:r>
          </w:p>
        </w:tc>
      </w:tr>
      <w:tr w:rsidR="00072083" w:rsidTr="0091084C">
        <w:trPr>
          <w:cantSplit/>
          <w:trHeight w:val="80"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(19)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2.114 (1.908)</w:t>
            </w:r>
          </w:p>
        </w:tc>
      </w:tr>
      <w:tr w:rsidR="00072083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 (24)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2.183 (1.733)</w:t>
            </w:r>
          </w:p>
        </w:tc>
      </w:tr>
      <w:tr w:rsidR="00FA1F9E" w:rsidTr="005C3627">
        <w:trPr>
          <w:cantSplit/>
          <w:trHeight w:val="80"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FA1F9E" w:rsidRDefault="00072083" w:rsidP="0068056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November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F9E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82005E">
              <w:rPr>
                <w:rFonts w:ascii="Arial" w:hAnsi="Arial" w:cs="Arial"/>
                <w:sz w:val="20"/>
              </w:rPr>
              <w:t xml:space="preserve"> </w:t>
            </w:r>
            <w:r w:rsidR="002D25C6">
              <w:rPr>
                <w:rFonts w:ascii="Arial" w:hAnsi="Arial" w:cs="Arial"/>
                <w:sz w:val="20"/>
              </w:rPr>
              <w:t>(</w:t>
            </w:r>
            <w:r w:rsidR="008A520F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5</w:t>
            </w:r>
            <w:r w:rsidR="002D25C6">
              <w:rPr>
                <w:rFonts w:ascii="Arial" w:hAnsi="Arial" w:cs="Arial"/>
                <w:sz w:val="20"/>
              </w:rPr>
              <w:t>)</w:t>
            </w:r>
            <w:r w:rsidR="008A31D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A1F9E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1.920</w:t>
            </w:r>
            <w:r w:rsidR="00EE3292">
              <w:rPr>
                <w:rFonts w:ascii="Arial" w:hAnsi="Arial" w:cs="Arial"/>
                <w:sz w:val="20"/>
              </w:rPr>
              <w:t xml:space="preserve"> </w:t>
            </w:r>
            <w:r w:rsidR="002D25C6">
              <w:rPr>
                <w:rFonts w:ascii="Arial" w:hAnsi="Arial" w:cs="Arial"/>
                <w:sz w:val="20"/>
              </w:rPr>
              <w:t>(</w:t>
            </w:r>
            <w:r w:rsidR="007218E8">
              <w:rPr>
                <w:rFonts w:ascii="Arial" w:hAnsi="Arial" w:cs="Arial"/>
                <w:sz w:val="20"/>
              </w:rPr>
              <w:t>1.</w:t>
            </w:r>
            <w:r w:rsidR="008A520F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84</w:t>
            </w:r>
            <w:r w:rsidR="002D25C6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387DCD" w:rsidRDefault="00387DCD">
      <w:pPr>
        <w:rPr>
          <w:rFonts w:ascii="Arial" w:hAnsi="Arial" w:cs="Arial"/>
          <w:sz w:val="20"/>
        </w:rPr>
      </w:pPr>
    </w:p>
    <w:p w:rsidR="00387DCD" w:rsidRDefault="00387DCD">
      <w:pPr>
        <w:rPr>
          <w:rFonts w:ascii="Arial" w:hAnsi="Arial" w:cs="Arial"/>
          <w:sz w:val="20"/>
        </w:rPr>
      </w:pPr>
    </w:p>
    <w:p w:rsidR="00387DCD" w:rsidRDefault="00BE31D0">
      <w:pPr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  <w:lang w:eastAsia="de-AT"/>
        </w:rPr>
        <w:drawing>
          <wp:inline distT="0" distB="0" distL="0" distR="0">
            <wp:extent cx="6324600" cy="2019300"/>
            <wp:effectExtent l="0" t="0" r="0" b="0"/>
            <wp:docPr id="2" name="Objekt 2" descr="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87DCD" w:rsidRDefault="00387DCD">
      <w:pPr>
        <w:rPr>
          <w:rFonts w:ascii="Trebuchet MS" w:hAnsi="Trebuchet MS"/>
          <w:sz w:val="20"/>
        </w:rPr>
      </w:pPr>
    </w:p>
    <w:tbl>
      <w:tblPr>
        <w:tblW w:w="0" w:type="auto"/>
        <w:tblInd w:w="10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701"/>
        <w:gridCol w:w="1843"/>
      </w:tblGrid>
      <w:tr w:rsidR="00387DCD">
        <w:trPr>
          <w:cantSplit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Monat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387D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Anzahl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CD" w:rsidRDefault="00AE5D55" w:rsidP="000E1E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Symbol" w:char="F0C6"/>
            </w:r>
            <w:r>
              <w:rPr>
                <w:rFonts w:ascii="Arial" w:hAnsi="Arial" w:cs="Arial"/>
                <w:sz w:val="20"/>
              </w:rPr>
              <w:t xml:space="preserve"> Preis </w:t>
            </w:r>
            <w:r w:rsidR="00ED0B19">
              <w:rPr>
                <w:rFonts w:ascii="Arial" w:hAnsi="Arial" w:cs="Arial"/>
                <w:sz w:val="20"/>
              </w:rPr>
              <w:t>202</w:t>
            </w:r>
            <w:r w:rsidR="000E1EF1">
              <w:rPr>
                <w:rFonts w:ascii="Arial" w:hAnsi="Arial" w:cs="Arial"/>
                <w:sz w:val="20"/>
              </w:rPr>
              <w:t>2</w:t>
            </w:r>
            <w:r w:rsidR="00ED0B19">
              <w:rPr>
                <w:rFonts w:ascii="Arial" w:hAnsi="Arial" w:cs="Arial"/>
                <w:sz w:val="20"/>
              </w:rPr>
              <w:t>/</w:t>
            </w:r>
            <w:r w:rsidR="005C3627">
              <w:rPr>
                <w:rFonts w:ascii="Arial" w:hAnsi="Arial" w:cs="Arial"/>
                <w:sz w:val="20"/>
              </w:rPr>
              <w:t>2</w:t>
            </w:r>
            <w:r w:rsidR="000E1EF1">
              <w:rPr>
                <w:rFonts w:ascii="Arial" w:hAnsi="Arial" w:cs="Arial"/>
                <w:sz w:val="20"/>
              </w:rPr>
              <w:t>1</w:t>
            </w:r>
          </w:p>
        </w:tc>
      </w:tr>
      <w:tr w:rsidR="00072083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     (11)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1.685 (1.627) </w:t>
            </w:r>
          </w:p>
        </w:tc>
      </w:tr>
      <w:tr w:rsidR="00072083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     (45)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1.755 (1.710) </w:t>
            </w:r>
          </w:p>
        </w:tc>
      </w:tr>
      <w:tr w:rsidR="00072083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September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     (61)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2083" w:rsidRDefault="00072083" w:rsidP="0007208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2.050 (1.658) </w:t>
            </w:r>
          </w:p>
        </w:tc>
      </w:tr>
      <w:tr w:rsidR="00432AB8">
        <w:trPr>
          <w:cantSplit/>
        </w:trPr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32AB8" w:rsidRDefault="00072083" w:rsidP="000475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Oktober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AB8" w:rsidRDefault="00072083" w:rsidP="00EE6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  <w:r w:rsidR="00432AB8">
              <w:rPr>
                <w:rFonts w:ascii="Arial" w:hAnsi="Arial" w:cs="Arial"/>
                <w:sz w:val="20"/>
              </w:rPr>
              <w:t xml:space="preserve">     (</w:t>
            </w:r>
            <w:r w:rsidR="008A520F">
              <w:rPr>
                <w:rFonts w:ascii="Arial" w:hAnsi="Arial" w:cs="Arial"/>
                <w:sz w:val="20"/>
              </w:rPr>
              <w:t>6</w:t>
            </w:r>
            <w:r w:rsidR="00EE61BA">
              <w:rPr>
                <w:rFonts w:ascii="Arial" w:hAnsi="Arial" w:cs="Arial"/>
                <w:sz w:val="20"/>
              </w:rPr>
              <w:t>4</w:t>
            </w:r>
            <w:r w:rsidR="00EE329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32AB8" w:rsidRDefault="00072083" w:rsidP="00EE61B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1.984</w:t>
            </w:r>
            <w:r w:rsidR="00432AB8">
              <w:rPr>
                <w:rFonts w:ascii="Arial" w:hAnsi="Arial" w:cs="Arial"/>
                <w:sz w:val="20"/>
              </w:rPr>
              <w:t xml:space="preserve"> (</w:t>
            </w:r>
            <w:r w:rsidR="00ED0B19">
              <w:rPr>
                <w:rFonts w:ascii="Arial" w:hAnsi="Arial" w:cs="Arial"/>
                <w:sz w:val="20"/>
              </w:rPr>
              <w:t>1.</w:t>
            </w:r>
            <w:r w:rsidR="00EE61BA">
              <w:rPr>
                <w:rFonts w:ascii="Arial" w:hAnsi="Arial" w:cs="Arial"/>
                <w:sz w:val="20"/>
              </w:rPr>
              <w:t>628</w:t>
            </w:r>
            <w:r w:rsidR="00A31463">
              <w:rPr>
                <w:rFonts w:ascii="Arial" w:hAnsi="Arial" w:cs="Arial"/>
                <w:sz w:val="20"/>
              </w:rPr>
              <w:t>)</w:t>
            </w:r>
            <w:r w:rsidR="00432AB8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387DCD" w:rsidRDefault="00387DCD">
      <w:pPr>
        <w:rPr>
          <w:rFonts w:ascii="Trebuchet MS" w:hAnsi="Trebuchet MS"/>
          <w:sz w:val="20"/>
        </w:rPr>
      </w:pPr>
    </w:p>
    <w:p w:rsidR="00387DCD" w:rsidRDefault="00387DCD">
      <w:pPr>
        <w:rPr>
          <w:rFonts w:ascii="Arial" w:hAnsi="Arial" w:cs="Arial"/>
          <w:sz w:val="20"/>
        </w:rPr>
      </w:pPr>
    </w:p>
    <w:p w:rsidR="00387DCD" w:rsidRDefault="00387DCD">
      <w:pPr>
        <w:rPr>
          <w:rFonts w:ascii="Arial" w:hAnsi="Arial" w:cs="Arial"/>
          <w:sz w:val="20"/>
        </w:rPr>
      </w:pPr>
    </w:p>
    <w:p w:rsidR="00387DCD" w:rsidRDefault="00387DCD">
      <w:pPr>
        <w:rPr>
          <w:lang w:val="de-DE"/>
        </w:rPr>
      </w:pPr>
    </w:p>
    <w:p w:rsidR="007541C9" w:rsidRDefault="007541C9" w:rsidP="007541C9">
      <w:pPr>
        <w:rPr>
          <w:rFonts w:ascii="Trebuchet MS" w:hAnsi="Trebuchet MS"/>
          <w:sz w:val="20"/>
        </w:rPr>
      </w:pPr>
    </w:p>
    <w:p w:rsidR="007541C9" w:rsidRDefault="007541C9" w:rsidP="007541C9">
      <w:pPr>
        <w:rPr>
          <w:sz w:val="20"/>
        </w:rPr>
      </w:pPr>
    </w:p>
    <w:p w:rsidR="007541C9" w:rsidRDefault="007541C9" w:rsidP="007541C9">
      <w:pPr>
        <w:rPr>
          <w:rFonts w:ascii="Trebuchet MS" w:hAnsi="Trebuchet MS"/>
          <w:sz w:val="20"/>
        </w:rPr>
      </w:pPr>
    </w:p>
    <w:p w:rsidR="007541C9" w:rsidRDefault="007541C9" w:rsidP="007541C9">
      <w:pPr>
        <w:rPr>
          <w:rFonts w:ascii="Trebuchet MS" w:hAnsi="Trebuchet MS"/>
          <w:sz w:val="20"/>
        </w:rPr>
      </w:pPr>
    </w:p>
    <w:p w:rsidR="007541C9" w:rsidRDefault="007541C9" w:rsidP="007541C9">
      <w:pPr>
        <w:rPr>
          <w:sz w:val="20"/>
        </w:rPr>
      </w:pPr>
    </w:p>
    <w:p w:rsidR="007541C9" w:rsidRDefault="007541C9" w:rsidP="007541C9">
      <w:pPr>
        <w:rPr>
          <w:rFonts w:ascii="Arial" w:hAnsi="Arial" w:cs="Arial"/>
          <w:sz w:val="20"/>
        </w:rPr>
      </w:pPr>
    </w:p>
    <w:p w:rsidR="00387DCD" w:rsidRDefault="00387DCD">
      <w:pPr>
        <w:tabs>
          <w:tab w:val="left" w:pos="2127"/>
          <w:tab w:val="left" w:pos="3119"/>
          <w:tab w:val="left" w:pos="4253"/>
          <w:tab w:val="left" w:pos="5670"/>
          <w:tab w:val="left" w:pos="6946"/>
          <w:tab w:val="left" w:pos="7938"/>
        </w:tabs>
        <w:spacing w:before="120"/>
        <w:jc w:val="both"/>
        <w:rPr>
          <w:rFonts w:ascii="Arial" w:hAnsi="Arial" w:cs="Arial"/>
          <w:sz w:val="21"/>
        </w:rPr>
      </w:pPr>
    </w:p>
    <w:p w:rsidR="00387DCD" w:rsidRDefault="00387DCD">
      <w:pPr>
        <w:rPr>
          <w:b/>
          <w:bCs/>
          <w:sz w:val="22"/>
        </w:rPr>
      </w:pPr>
    </w:p>
    <w:sectPr w:rsidR="00387DCD" w:rsidSect="004C35E4">
      <w:pgSz w:w="11907" w:h="16840"/>
      <w:pgMar w:top="709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CD"/>
    <w:rsid w:val="00001DC3"/>
    <w:rsid w:val="000030FB"/>
    <w:rsid w:val="00006530"/>
    <w:rsid w:val="0000679F"/>
    <w:rsid w:val="000076CF"/>
    <w:rsid w:val="00007961"/>
    <w:rsid w:val="00010171"/>
    <w:rsid w:val="00010C96"/>
    <w:rsid w:val="000131EA"/>
    <w:rsid w:val="00013E92"/>
    <w:rsid w:val="00021DF2"/>
    <w:rsid w:val="0002257F"/>
    <w:rsid w:val="0002345E"/>
    <w:rsid w:val="000254DE"/>
    <w:rsid w:val="00037CC5"/>
    <w:rsid w:val="00040061"/>
    <w:rsid w:val="00041760"/>
    <w:rsid w:val="00044B89"/>
    <w:rsid w:val="00052081"/>
    <w:rsid w:val="00052637"/>
    <w:rsid w:val="000547C6"/>
    <w:rsid w:val="00055770"/>
    <w:rsid w:val="00057994"/>
    <w:rsid w:val="00061870"/>
    <w:rsid w:val="000620E5"/>
    <w:rsid w:val="000716A7"/>
    <w:rsid w:val="00072083"/>
    <w:rsid w:val="0007501F"/>
    <w:rsid w:val="00081188"/>
    <w:rsid w:val="00081909"/>
    <w:rsid w:val="00084689"/>
    <w:rsid w:val="000863D1"/>
    <w:rsid w:val="0008659F"/>
    <w:rsid w:val="0008731F"/>
    <w:rsid w:val="00087A85"/>
    <w:rsid w:val="00087F49"/>
    <w:rsid w:val="00092BEF"/>
    <w:rsid w:val="00095FA0"/>
    <w:rsid w:val="000A033E"/>
    <w:rsid w:val="000A1B3F"/>
    <w:rsid w:val="000A284B"/>
    <w:rsid w:val="000A2FA4"/>
    <w:rsid w:val="000A675C"/>
    <w:rsid w:val="000A69BE"/>
    <w:rsid w:val="000B2840"/>
    <w:rsid w:val="000B2A92"/>
    <w:rsid w:val="000B2D70"/>
    <w:rsid w:val="000B4BBF"/>
    <w:rsid w:val="000B7B2E"/>
    <w:rsid w:val="000C15D7"/>
    <w:rsid w:val="000C204C"/>
    <w:rsid w:val="000C2F25"/>
    <w:rsid w:val="000C333B"/>
    <w:rsid w:val="000C5CEA"/>
    <w:rsid w:val="000C6E3A"/>
    <w:rsid w:val="000C6F04"/>
    <w:rsid w:val="000C7351"/>
    <w:rsid w:val="000D214B"/>
    <w:rsid w:val="000D384F"/>
    <w:rsid w:val="000D5610"/>
    <w:rsid w:val="000D75B7"/>
    <w:rsid w:val="000D7932"/>
    <w:rsid w:val="000E029D"/>
    <w:rsid w:val="000E1C64"/>
    <w:rsid w:val="000E1EF1"/>
    <w:rsid w:val="000E60E2"/>
    <w:rsid w:val="000E7D8A"/>
    <w:rsid w:val="000F1592"/>
    <w:rsid w:val="000F27D8"/>
    <w:rsid w:val="000F7738"/>
    <w:rsid w:val="001024A3"/>
    <w:rsid w:val="001028F5"/>
    <w:rsid w:val="00104B60"/>
    <w:rsid w:val="0010737A"/>
    <w:rsid w:val="00107C25"/>
    <w:rsid w:val="00111943"/>
    <w:rsid w:val="00113F4F"/>
    <w:rsid w:val="00114D74"/>
    <w:rsid w:val="001150C8"/>
    <w:rsid w:val="00115177"/>
    <w:rsid w:val="001157CD"/>
    <w:rsid w:val="00117DEF"/>
    <w:rsid w:val="00125F67"/>
    <w:rsid w:val="001265ED"/>
    <w:rsid w:val="001406B0"/>
    <w:rsid w:val="0014213D"/>
    <w:rsid w:val="00147536"/>
    <w:rsid w:val="00150E15"/>
    <w:rsid w:val="00155362"/>
    <w:rsid w:val="001562C3"/>
    <w:rsid w:val="001613FF"/>
    <w:rsid w:val="00162DCA"/>
    <w:rsid w:val="001632E8"/>
    <w:rsid w:val="00163A06"/>
    <w:rsid w:val="00164B0D"/>
    <w:rsid w:val="00164EE1"/>
    <w:rsid w:val="0017173F"/>
    <w:rsid w:val="0017229C"/>
    <w:rsid w:val="001740AD"/>
    <w:rsid w:val="00174F47"/>
    <w:rsid w:val="00182AC8"/>
    <w:rsid w:val="00184C84"/>
    <w:rsid w:val="00190213"/>
    <w:rsid w:val="00190E2D"/>
    <w:rsid w:val="001954BE"/>
    <w:rsid w:val="001957A4"/>
    <w:rsid w:val="001969F3"/>
    <w:rsid w:val="001A13D0"/>
    <w:rsid w:val="001A1E1E"/>
    <w:rsid w:val="001A4B3F"/>
    <w:rsid w:val="001A5BEF"/>
    <w:rsid w:val="001A6707"/>
    <w:rsid w:val="001A6D23"/>
    <w:rsid w:val="001A72E2"/>
    <w:rsid w:val="001A7AF9"/>
    <w:rsid w:val="001B6714"/>
    <w:rsid w:val="001B6D9B"/>
    <w:rsid w:val="001B77D2"/>
    <w:rsid w:val="001C4B79"/>
    <w:rsid w:val="001D0CA7"/>
    <w:rsid w:val="001D6316"/>
    <w:rsid w:val="001E03AA"/>
    <w:rsid w:val="001E0C57"/>
    <w:rsid w:val="001E1CEA"/>
    <w:rsid w:val="001E3ECC"/>
    <w:rsid w:val="001E5334"/>
    <w:rsid w:val="001E613C"/>
    <w:rsid w:val="001E622E"/>
    <w:rsid w:val="001E6772"/>
    <w:rsid w:val="001F64E4"/>
    <w:rsid w:val="001F7BF1"/>
    <w:rsid w:val="00202F35"/>
    <w:rsid w:val="00203328"/>
    <w:rsid w:val="00206E33"/>
    <w:rsid w:val="002123E5"/>
    <w:rsid w:val="0021699D"/>
    <w:rsid w:val="002216B4"/>
    <w:rsid w:val="00223B7B"/>
    <w:rsid w:val="0022511C"/>
    <w:rsid w:val="00225600"/>
    <w:rsid w:val="00230544"/>
    <w:rsid w:val="0023292B"/>
    <w:rsid w:val="0023570E"/>
    <w:rsid w:val="00237909"/>
    <w:rsid w:val="002400A9"/>
    <w:rsid w:val="00240FBF"/>
    <w:rsid w:val="00241344"/>
    <w:rsid w:val="0024262C"/>
    <w:rsid w:val="00242A71"/>
    <w:rsid w:val="00242BF2"/>
    <w:rsid w:val="00246537"/>
    <w:rsid w:val="002519F2"/>
    <w:rsid w:val="0025376C"/>
    <w:rsid w:val="00257DFA"/>
    <w:rsid w:val="002605E4"/>
    <w:rsid w:val="002617AC"/>
    <w:rsid w:val="00261CED"/>
    <w:rsid w:val="00262891"/>
    <w:rsid w:val="002667A7"/>
    <w:rsid w:val="00271494"/>
    <w:rsid w:val="00274A19"/>
    <w:rsid w:val="00280B21"/>
    <w:rsid w:val="00283945"/>
    <w:rsid w:val="00287A52"/>
    <w:rsid w:val="00294662"/>
    <w:rsid w:val="00295E84"/>
    <w:rsid w:val="002964B8"/>
    <w:rsid w:val="002965F5"/>
    <w:rsid w:val="00297721"/>
    <w:rsid w:val="00297724"/>
    <w:rsid w:val="002A0039"/>
    <w:rsid w:val="002A7DC2"/>
    <w:rsid w:val="002B3112"/>
    <w:rsid w:val="002B7228"/>
    <w:rsid w:val="002C029E"/>
    <w:rsid w:val="002C2801"/>
    <w:rsid w:val="002C6139"/>
    <w:rsid w:val="002C658D"/>
    <w:rsid w:val="002D0225"/>
    <w:rsid w:val="002D0666"/>
    <w:rsid w:val="002D25C6"/>
    <w:rsid w:val="002D35F3"/>
    <w:rsid w:val="002D3742"/>
    <w:rsid w:val="002D3C8F"/>
    <w:rsid w:val="002D55A4"/>
    <w:rsid w:val="002D63B2"/>
    <w:rsid w:val="002D78B3"/>
    <w:rsid w:val="002E08E8"/>
    <w:rsid w:val="002E3C55"/>
    <w:rsid w:val="002E7248"/>
    <w:rsid w:val="002F64A9"/>
    <w:rsid w:val="0030284A"/>
    <w:rsid w:val="00303408"/>
    <w:rsid w:val="00311803"/>
    <w:rsid w:val="00311CF3"/>
    <w:rsid w:val="00312D41"/>
    <w:rsid w:val="00314174"/>
    <w:rsid w:val="00320B35"/>
    <w:rsid w:val="00320D3F"/>
    <w:rsid w:val="00321F1B"/>
    <w:rsid w:val="00322BF0"/>
    <w:rsid w:val="00323656"/>
    <w:rsid w:val="00332092"/>
    <w:rsid w:val="003334C9"/>
    <w:rsid w:val="0033627E"/>
    <w:rsid w:val="00336B0C"/>
    <w:rsid w:val="00337BB5"/>
    <w:rsid w:val="0034162B"/>
    <w:rsid w:val="00341BF5"/>
    <w:rsid w:val="00342BA6"/>
    <w:rsid w:val="00344FBB"/>
    <w:rsid w:val="003458E6"/>
    <w:rsid w:val="0034756A"/>
    <w:rsid w:val="00353508"/>
    <w:rsid w:val="003545A8"/>
    <w:rsid w:val="003560C9"/>
    <w:rsid w:val="003576E4"/>
    <w:rsid w:val="00357B77"/>
    <w:rsid w:val="00360427"/>
    <w:rsid w:val="00361200"/>
    <w:rsid w:val="0037375C"/>
    <w:rsid w:val="00373C18"/>
    <w:rsid w:val="00374F0C"/>
    <w:rsid w:val="0038167B"/>
    <w:rsid w:val="003837D1"/>
    <w:rsid w:val="00387DCD"/>
    <w:rsid w:val="00391A14"/>
    <w:rsid w:val="003944D9"/>
    <w:rsid w:val="00397BCD"/>
    <w:rsid w:val="003A0717"/>
    <w:rsid w:val="003A139E"/>
    <w:rsid w:val="003A414F"/>
    <w:rsid w:val="003A6BAE"/>
    <w:rsid w:val="003B014A"/>
    <w:rsid w:val="003B0CDB"/>
    <w:rsid w:val="003B169D"/>
    <w:rsid w:val="003B253F"/>
    <w:rsid w:val="003B2F77"/>
    <w:rsid w:val="003B43BF"/>
    <w:rsid w:val="003B4F84"/>
    <w:rsid w:val="003B689E"/>
    <w:rsid w:val="003B69C4"/>
    <w:rsid w:val="003C3BF1"/>
    <w:rsid w:val="003C3E33"/>
    <w:rsid w:val="003C4B44"/>
    <w:rsid w:val="003D2A67"/>
    <w:rsid w:val="003D52CA"/>
    <w:rsid w:val="003D5DE5"/>
    <w:rsid w:val="003D6ECB"/>
    <w:rsid w:val="003D7B37"/>
    <w:rsid w:val="003E0BE4"/>
    <w:rsid w:val="003E556E"/>
    <w:rsid w:val="003E5DBC"/>
    <w:rsid w:val="003E7BD9"/>
    <w:rsid w:val="003F36FF"/>
    <w:rsid w:val="003F4333"/>
    <w:rsid w:val="003F77C8"/>
    <w:rsid w:val="00402E78"/>
    <w:rsid w:val="004120C0"/>
    <w:rsid w:val="004139A2"/>
    <w:rsid w:val="004170A6"/>
    <w:rsid w:val="00420209"/>
    <w:rsid w:val="00420B37"/>
    <w:rsid w:val="00425EEC"/>
    <w:rsid w:val="004273B1"/>
    <w:rsid w:val="0043084A"/>
    <w:rsid w:val="00431C49"/>
    <w:rsid w:val="004329BF"/>
    <w:rsid w:val="00432AB8"/>
    <w:rsid w:val="004363A5"/>
    <w:rsid w:val="00436ACE"/>
    <w:rsid w:val="00436E2C"/>
    <w:rsid w:val="004373A0"/>
    <w:rsid w:val="004377F1"/>
    <w:rsid w:val="00441C71"/>
    <w:rsid w:val="0044314C"/>
    <w:rsid w:val="00447751"/>
    <w:rsid w:val="00450196"/>
    <w:rsid w:val="00450B6E"/>
    <w:rsid w:val="00450CA2"/>
    <w:rsid w:val="00453C39"/>
    <w:rsid w:val="004543C6"/>
    <w:rsid w:val="004546DD"/>
    <w:rsid w:val="00456FD1"/>
    <w:rsid w:val="00460FDA"/>
    <w:rsid w:val="004641ED"/>
    <w:rsid w:val="00467772"/>
    <w:rsid w:val="004703C3"/>
    <w:rsid w:val="004710CB"/>
    <w:rsid w:val="00472AB6"/>
    <w:rsid w:val="004806B9"/>
    <w:rsid w:val="00482267"/>
    <w:rsid w:val="004832A0"/>
    <w:rsid w:val="004863EE"/>
    <w:rsid w:val="004913CA"/>
    <w:rsid w:val="00494F73"/>
    <w:rsid w:val="004A0D50"/>
    <w:rsid w:val="004A1F3C"/>
    <w:rsid w:val="004A2AB4"/>
    <w:rsid w:val="004A5CA8"/>
    <w:rsid w:val="004B09A4"/>
    <w:rsid w:val="004C1C76"/>
    <w:rsid w:val="004C2442"/>
    <w:rsid w:val="004C35E4"/>
    <w:rsid w:val="004D0203"/>
    <w:rsid w:val="004D55E2"/>
    <w:rsid w:val="004D78A3"/>
    <w:rsid w:val="004E15BC"/>
    <w:rsid w:val="004E3E1C"/>
    <w:rsid w:val="004E437D"/>
    <w:rsid w:val="004E546D"/>
    <w:rsid w:val="004E56BF"/>
    <w:rsid w:val="004E6781"/>
    <w:rsid w:val="004E7BDF"/>
    <w:rsid w:val="004F0933"/>
    <w:rsid w:val="004F30C8"/>
    <w:rsid w:val="004F408C"/>
    <w:rsid w:val="004F40B5"/>
    <w:rsid w:val="004F4189"/>
    <w:rsid w:val="004F4A11"/>
    <w:rsid w:val="004F62ED"/>
    <w:rsid w:val="004F6DCE"/>
    <w:rsid w:val="00510D91"/>
    <w:rsid w:val="00512D97"/>
    <w:rsid w:val="0051321B"/>
    <w:rsid w:val="005141FC"/>
    <w:rsid w:val="00520293"/>
    <w:rsid w:val="005306F2"/>
    <w:rsid w:val="00531590"/>
    <w:rsid w:val="005323BC"/>
    <w:rsid w:val="0053241E"/>
    <w:rsid w:val="0053716F"/>
    <w:rsid w:val="00542D72"/>
    <w:rsid w:val="0054543F"/>
    <w:rsid w:val="00546F7A"/>
    <w:rsid w:val="005542B2"/>
    <w:rsid w:val="0055625C"/>
    <w:rsid w:val="0056242B"/>
    <w:rsid w:val="005641AA"/>
    <w:rsid w:val="0057067E"/>
    <w:rsid w:val="005708CC"/>
    <w:rsid w:val="0057564B"/>
    <w:rsid w:val="005817B6"/>
    <w:rsid w:val="00586D1D"/>
    <w:rsid w:val="00596950"/>
    <w:rsid w:val="005A09F1"/>
    <w:rsid w:val="005A1ABC"/>
    <w:rsid w:val="005A7382"/>
    <w:rsid w:val="005B1555"/>
    <w:rsid w:val="005B1B3A"/>
    <w:rsid w:val="005B3BD0"/>
    <w:rsid w:val="005C0389"/>
    <w:rsid w:val="005C2C4A"/>
    <w:rsid w:val="005C3627"/>
    <w:rsid w:val="005D66C3"/>
    <w:rsid w:val="005E0463"/>
    <w:rsid w:val="005E0F94"/>
    <w:rsid w:val="005E21FD"/>
    <w:rsid w:val="005E238A"/>
    <w:rsid w:val="005E496F"/>
    <w:rsid w:val="005E6BF1"/>
    <w:rsid w:val="005F10A9"/>
    <w:rsid w:val="005F20CE"/>
    <w:rsid w:val="005F2307"/>
    <w:rsid w:val="005F2DC6"/>
    <w:rsid w:val="005F61CC"/>
    <w:rsid w:val="00602297"/>
    <w:rsid w:val="0060365D"/>
    <w:rsid w:val="00605E57"/>
    <w:rsid w:val="00606DA8"/>
    <w:rsid w:val="00606EE9"/>
    <w:rsid w:val="0061011F"/>
    <w:rsid w:val="006103B0"/>
    <w:rsid w:val="00612820"/>
    <w:rsid w:val="00612B3A"/>
    <w:rsid w:val="00613321"/>
    <w:rsid w:val="00615BE6"/>
    <w:rsid w:val="006168B4"/>
    <w:rsid w:val="00616C6D"/>
    <w:rsid w:val="00616F53"/>
    <w:rsid w:val="006170CD"/>
    <w:rsid w:val="00621942"/>
    <w:rsid w:val="0062198A"/>
    <w:rsid w:val="00622E76"/>
    <w:rsid w:val="006249F3"/>
    <w:rsid w:val="006345C6"/>
    <w:rsid w:val="00634C5F"/>
    <w:rsid w:val="00634D31"/>
    <w:rsid w:val="00636F0B"/>
    <w:rsid w:val="006373FD"/>
    <w:rsid w:val="00643E54"/>
    <w:rsid w:val="006461FB"/>
    <w:rsid w:val="006473C2"/>
    <w:rsid w:val="00650487"/>
    <w:rsid w:val="00650B73"/>
    <w:rsid w:val="00657171"/>
    <w:rsid w:val="00662116"/>
    <w:rsid w:val="00663187"/>
    <w:rsid w:val="006647F9"/>
    <w:rsid w:val="0066732F"/>
    <w:rsid w:val="00667576"/>
    <w:rsid w:val="00671D17"/>
    <w:rsid w:val="00674DEA"/>
    <w:rsid w:val="006773E4"/>
    <w:rsid w:val="00677E68"/>
    <w:rsid w:val="0068056B"/>
    <w:rsid w:val="006817C6"/>
    <w:rsid w:val="006832EE"/>
    <w:rsid w:val="0068584A"/>
    <w:rsid w:val="006863C0"/>
    <w:rsid w:val="00687A90"/>
    <w:rsid w:val="00687AF3"/>
    <w:rsid w:val="0069444B"/>
    <w:rsid w:val="00696CD6"/>
    <w:rsid w:val="006A027D"/>
    <w:rsid w:val="006A0426"/>
    <w:rsid w:val="006A219B"/>
    <w:rsid w:val="006A2432"/>
    <w:rsid w:val="006A3D90"/>
    <w:rsid w:val="006A55F8"/>
    <w:rsid w:val="006A6758"/>
    <w:rsid w:val="006A683B"/>
    <w:rsid w:val="006B2CCB"/>
    <w:rsid w:val="006B5025"/>
    <w:rsid w:val="006B589E"/>
    <w:rsid w:val="006C69F7"/>
    <w:rsid w:val="006D40A5"/>
    <w:rsid w:val="006D5AB0"/>
    <w:rsid w:val="006D6632"/>
    <w:rsid w:val="006D72EE"/>
    <w:rsid w:val="006E2953"/>
    <w:rsid w:val="006E3046"/>
    <w:rsid w:val="006E4921"/>
    <w:rsid w:val="006F014B"/>
    <w:rsid w:val="006F025C"/>
    <w:rsid w:val="006F1DF9"/>
    <w:rsid w:val="006F245F"/>
    <w:rsid w:val="006F4098"/>
    <w:rsid w:val="006F5639"/>
    <w:rsid w:val="006F66A4"/>
    <w:rsid w:val="0070026B"/>
    <w:rsid w:val="007003EE"/>
    <w:rsid w:val="007011F7"/>
    <w:rsid w:val="00704160"/>
    <w:rsid w:val="007058B5"/>
    <w:rsid w:val="00706928"/>
    <w:rsid w:val="00707BD7"/>
    <w:rsid w:val="00710C93"/>
    <w:rsid w:val="0071193E"/>
    <w:rsid w:val="00712F78"/>
    <w:rsid w:val="00720338"/>
    <w:rsid w:val="007218E8"/>
    <w:rsid w:val="007225DD"/>
    <w:rsid w:val="00722685"/>
    <w:rsid w:val="0072437E"/>
    <w:rsid w:val="00737A74"/>
    <w:rsid w:val="00741A77"/>
    <w:rsid w:val="00741F53"/>
    <w:rsid w:val="00742E86"/>
    <w:rsid w:val="00743174"/>
    <w:rsid w:val="007453ED"/>
    <w:rsid w:val="007475E9"/>
    <w:rsid w:val="00751E56"/>
    <w:rsid w:val="00752642"/>
    <w:rsid w:val="007541C9"/>
    <w:rsid w:val="0075600A"/>
    <w:rsid w:val="0075767C"/>
    <w:rsid w:val="00757B00"/>
    <w:rsid w:val="00757E6D"/>
    <w:rsid w:val="007604AD"/>
    <w:rsid w:val="00762798"/>
    <w:rsid w:val="007632EA"/>
    <w:rsid w:val="0076414D"/>
    <w:rsid w:val="00770037"/>
    <w:rsid w:val="007710A2"/>
    <w:rsid w:val="00771557"/>
    <w:rsid w:val="00773F42"/>
    <w:rsid w:val="00775ED6"/>
    <w:rsid w:val="007862C0"/>
    <w:rsid w:val="00786B84"/>
    <w:rsid w:val="00787A66"/>
    <w:rsid w:val="00787ABC"/>
    <w:rsid w:val="00792358"/>
    <w:rsid w:val="007939B0"/>
    <w:rsid w:val="0079400D"/>
    <w:rsid w:val="0079676E"/>
    <w:rsid w:val="007A3580"/>
    <w:rsid w:val="007A44AD"/>
    <w:rsid w:val="007A57C8"/>
    <w:rsid w:val="007A5A57"/>
    <w:rsid w:val="007B2995"/>
    <w:rsid w:val="007C238E"/>
    <w:rsid w:val="007C4DAA"/>
    <w:rsid w:val="007C61EA"/>
    <w:rsid w:val="007C69B8"/>
    <w:rsid w:val="007C7DF9"/>
    <w:rsid w:val="007D2AD0"/>
    <w:rsid w:val="007D3EE5"/>
    <w:rsid w:val="007D4EAB"/>
    <w:rsid w:val="007E09D4"/>
    <w:rsid w:val="007E0DA6"/>
    <w:rsid w:val="007F0159"/>
    <w:rsid w:val="007F2509"/>
    <w:rsid w:val="007F7005"/>
    <w:rsid w:val="007F71AF"/>
    <w:rsid w:val="00802ECF"/>
    <w:rsid w:val="008042D1"/>
    <w:rsid w:val="00811EAE"/>
    <w:rsid w:val="00814983"/>
    <w:rsid w:val="00814A74"/>
    <w:rsid w:val="0082005E"/>
    <w:rsid w:val="00823B17"/>
    <w:rsid w:val="0082633A"/>
    <w:rsid w:val="0083184D"/>
    <w:rsid w:val="008330D4"/>
    <w:rsid w:val="0084076E"/>
    <w:rsid w:val="00843BF8"/>
    <w:rsid w:val="0084528F"/>
    <w:rsid w:val="00846495"/>
    <w:rsid w:val="008468B4"/>
    <w:rsid w:val="008479BB"/>
    <w:rsid w:val="00850173"/>
    <w:rsid w:val="00851F9F"/>
    <w:rsid w:val="0085232E"/>
    <w:rsid w:val="00852AC8"/>
    <w:rsid w:val="00855A0D"/>
    <w:rsid w:val="00857E95"/>
    <w:rsid w:val="00857F14"/>
    <w:rsid w:val="00860A1D"/>
    <w:rsid w:val="00861DB8"/>
    <w:rsid w:val="008640B8"/>
    <w:rsid w:val="0086436B"/>
    <w:rsid w:val="00866074"/>
    <w:rsid w:val="0086714C"/>
    <w:rsid w:val="008678EC"/>
    <w:rsid w:val="00874777"/>
    <w:rsid w:val="00876941"/>
    <w:rsid w:val="008774DE"/>
    <w:rsid w:val="008778FB"/>
    <w:rsid w:val="00880696"/>
    <w:rsid w:val="00882756"/>
    <w:rsid w:val="00882C17"/>
    <w:rsid w:val="0088690F"/>
    <w:rsid w:val="00886C7E"/>
    <w:rsid w:val="00887869"/>
    <w:rsid w:val="008903B3"/>
    <w:rsid w:val="0089144B"/>
    <w:rsid w:val="00891EBB"/>
    <w:rsid w:val="008920B3"/>
    <w:rsid w:val="00893AD5"/>
    <w:rsid w:val="008968E8"/>
    <w:rsid w:val="00896AD7"/>
    <w:rsid w:val="00897CFC"/>
    <w:rsid w:val="008A1A30"/>
    <w:rsid w:val="008A31D6"/>
    <w:rsid w:val="008A520F"/>
    <w:rsid w:val="008A5C7A"/>
    <w:rsid w:val="008A74BD"/>
    <w:rsid w:val="008A7BBD"/>
    <w:rsid w:val="008B5184"/>
    <w:rsid w:val="008B67A0"/>
    <w:rsid w:val="008B7468"/>
    <w:rsid w:val="008C53F9"/>
    <w:rsid w:val="008C5696"/>
    <w:rsid w:val="008C595A"/>
    <w:rsid w:val="008D3491"/>
    <w:rsid w:val="008D4818"/>
    <w:rsid w:val="008D54AC"/>
    <w:rsid w:val="008D5530"/>
    <w:rsid w:val="008E5C77"/>
    <w:rsid w:val="008E630D"/>
    <w:rsid w:val="008E6399"/>
    <w:rsid w:val="008E6FA2"/>
    <w:rsid w:val="008F1594"/>
    <w:rsid w:val="008F232A"/>
    <w:rsid w:val="008F3EE4"/>
    <w:rsid w:val="008F429B"/>
    <w:rsid w:val="008F4BC9"/>
    <w:rsid w:val="008F6CAC"/>
    <w:rsid w:val="008F75B9"/>
    <w:rsid w:val="00900130"/>
    <w:rsid w:val="00906036"/>
    <w:rsid w:val="009068F6"/>
    <w:rsid w:val="009103EB"/>
    <w:rsid w:val="0091084C"/>
    <w:rsid w:val="009125FD"/>
    <w:rsid w:val="00913AB8"/>
    <w:rsid w:val="009174E1"/>
    <w:rsid w:val="0092148B"/>
    <w:rsid w:val="009218E9"/>
    <w:rsid w:val="009225D8"/>
    <w:rsid w:val="0092272C"/>
    <w:rsid w:val="009241E8"/>
    <w:rsid w:val="009246F3"/>
    <w:rsid w:val="00925555"/>
    <w:rsid w:val="00925C17"/>
    <w:rsid w:val="00927568"/>
    <w:rsid w:val="00927C73"/>
    <w:rsid w:val="00930EB6"/>
    <w:rsid w:val="0093123F"/>
    <w:rsid w:val="00936598"/>
    <w:rsid w:val="00937953"/>
    <w:rsid w:val="00940618"/>
    <w:rsid w:val="00944854"/>
    <w:rsid w:val="0094581C"/>
    <w:rsid w:val="0095017E"/>
    <w:rsid w:val="00955361"/>
    <w:rsid w:val="00956092"/>
    <w:rsid w:val="00957FF4"/>
    <w:rsid w:val="009612F3"/>
    <w:rsid w:val="00962243"/>
    <w:rsid w:val="00962E14"/>
    <w:rsid w:val="0096372B"/>
    <w:rsid w:val="00967247"/>
    <w:rsid w:val="0096761F"/>
    <w:rsid w:val="00970311"/>
    <w:rsid w:val="0097534C"/>
    <w:rsid w:val="009764C0"/>
    <w:rsid w:val="009807EB"/>
    <w:rsid w:val="00985E1E"/>
    <w:rsid w:val="0099429C"/>
    <w:rsid w:val="009949D2"/>
    <w:rsid w:val="0099794B"/>
    <w:rsid w:val="009A179A"/>
    <w:rsid w:val="009B196C"/>
    <w:rsid w:val="009B1FBD"/>
    <w:rsid w:val="009B28D4"/>
    <w:rsid w:val="009B65CB"/>
    <w:rsid w:val="009C0EA3"/>
    <w:rsid w:val="009C48A1"/>
    <w:rsid w:val="009C4F8C"/>
    <w:rsid w:val="009C61C2"/>
    <w:rsid w:val="009C7831"/>
    <w:rsid w:val="009D0605"/>
    <w:rsid w:val="009D4FFE"/>
    <w:rsid w:val="009E26DB"/>
    <w:rsid w:val="009E2F9C"/>
    <w:rsid w:val="009E55F5"/>
    <w:rsid w:val="009E7A5B"/>
    <w:rsid w:val="009F102E"/>
    <w:rsid w:val="009F6020"/>
    <w:rsid w:val="009F77CB"/>
    <w:rsid w:val="00A02552"/>
    <w:rsid w:val="00A02FB1"/>
    <w:rsid w:val="00A07417"/>
    <w:rsid w:val="00A07AA2"/>
    <w:rsid w:val="00A1182B"/>
    <w:rsid w:val="00A12E6B"/>
    <w:rsid w:val="00A17C35"/>
    <w:rsid w:val="00A23C89"/>
    <w:rsid w:val="00A246F2"/>
    <w:rsid w:val="00A24AF2"/>
    <w:rsid w:val="00A25D75"/>
    <w:rsid w:val="00A27537"/>
    <w:rsid w:val="00A31463"/>
    <w:rsid w:val="00A40C46"/>
    <w:rsid w:val="00A40D4A"/>
    <w:rsid w:val="00A424B1"/>
    <w:rsid w:val="00A4284A"/>
    <w:rsid w:val="00A43B6A"/>
    <w:rsid w:val="00A43DB6"/>
    <w:rsid w:val="00A44651"/>
    <w:rsid w:val="00A464F9"/>
    <w:rsid w:val="00A47B9F"/>
    <w:rsid w:val="00A51B25"/>
    <w:rsid w:val="00A51C0B"/>
    <w:rsid w:val="00A61FF8"/>
    <w:rsid w:val="00A635EF"/>
    <w:rsid w:val="00A65EBF"/>
    <w:rsid w:val="00A6742F"/>
    <w:rsid w:val="00A675CB"/>
    <w:rsid w:val="00A739F4"/>
    <w:rsid w:val="00A76153"/>
    <w:rsid w:val="00A76600"/>
    <w:rsid w:val="00A778BA"/>
    <w:rsid w:val="00A77C84"/>
    <w:rsid w:val="00A8371E"/>
    <w:rsid w:val="00A86AEA"/>
    <w:rsid w:val="00A91D22"/>
    <w:rsid w:val="00A96908"/>
    <w:rsid w:val="00AA16DF"/>
    <w:rsid w:val="00AA6516"/>
    <w:rsid w:val="00AB057A"/>
    <w:rsid w:val="00AB2DD0"/>
    <w:rsid w:val="00AB59C3"/>
    <w:rsid w:val="00AC22E8"/>
    <w:rsid w:val="00AC3575"/>
    <w:rsid w:val="00AC3E80"/>
    <w:rsid w:val="00AD4BF2"/>
    <w:rsid w:val="00AE24C6"/>
    <w:rsid w:val="00AE5D55"/>
    <w:rsid w:val="00AE60C5"/>
    <w:rsid w:val="00AE6119"/>
    <w:rsid w:val="00AF3CDE"/>
    <w:rsid w:val="00AF475C"/>
    <w:rsid w:val="00AF4B39"/>
    <w:rsid w:val="00B05416"/>
    <w:rsid w:val="00B06EB7"/>
    <w:rsid w:val="00B07A6D"/>
    <w:rsid w:val="00B114C2"/>
    <w:rsid w:val="00B11B9A"/>
    <w:rsid w:val="00B14053"/>
    <w:rsid w:val="00B15885"/>
    <w:rsid w:val="00B21783"/>
    <w:rsid w:val="00B21F5B"/>
    <w:rsid w:val="00B21FA6"/>
    <w:rsid w:val="00B23E7A"/>
    <w:rsid w:val="00B25F2D"/>
    <w:rsid w:val="00B26EC7"/>
    <w:rsid w:val="00B32754"/>
    <w:rsid w:val="00B3305E"/>
    <w:rsid w:val="00B40AE0"/>
    <w:rsid w:val="00B44CE0"/>
    <w:rsid w:val="00B52554"/>
    <w:rsid w:val="00B55F84"/>
    <w:rsid w:val="00B610CC"/>
    <w:rsid w:val="00B61EA4"/>
    <w:rsid w:val="00B6273F"/>
    <w:rsid w:val="00B63831"/>
    <w:rsid w:val="00B6589D"/>
    <w:rsid w:val="00B700D1"/>
    <w:rsid w:val="00B70BFB"/>
    <w:rsid w:val="00B75EE5"/>
    <w:rsid w:val="00B87DA3"/>
    <w:rsid w:val="00B91BE4"/>
    <w:rsid w:val="00B91FA6"/>
    <w:rsid w:val="00B9289F"/>
    <w:rsid w:val="00BA4DC0"/>
    <w:rsid w:val="00BA6B1F"/>
    <w:rsid w:val="00BA6EE3"/>
    <w:rsid w:val="00BB3191"/>
    <w:rsid w:val="00BB52EA"/>
    <w:rsid w:val="00BC032F"/>
    <w:rsid w:val="00BC1B32"/>
    <w:rsid w:val="00BC2BAC"/>
    <w:rsid w:val="00BC2D6C"/>
    <w:rsid w:val="00BC53A3"/>
    <w:rsid w:val="00BC72AB"/>
    <w:rsid w:val="00BD7F06"/>
    <w:rsid w:val="00BE1F6C"/>
    <w:rsid w:val="00BE300F"/>
    <w:rsid w:val="00BE31D0"/>
    <w:rsid w:val="00BE33EE"/>
    <w:rsid w:val="00BE6AD7"/>
    <w:rsid w:val="00BF10A9"/>
    <w:rsid w:val="00BF154C"/>
    <w:rsid w:val="00BF4B9E"/>
    <w:rsid w:val="00BF4F09"/>
    <w:rsid w:val="00C01E67"/>
    <w:rsid w:val="00C04E8F"/>
    <w:rsid w:val="00C079F7"/>
    <w:rsid w:val="00C108AB"/>
    <w:rsid w:val="00C143D3"/>
    <w:rsid w:val="00C149FC"/>
    <w:rsid w:val="00C16707"/>
    <w:rsid w:val="00C2413D"/>
    <w:rsid w:val="00C26EA9"/>
    <w:rsid w:val="00C274FF"/>
    <w:rsid w:val="00C30227"/>
    <w:rsid w:val="00C37C27"/>
    <w:rsid w:val="00C41D2E"/>
    <w:rsid w:val="00C45D7B"/>
    <w:rsid w:val="00C45E1A"/>
    <w:rsid w:val="00C4755A"/>
    <w:rsid w:val="00C50A1C"/>
    <w:rsid w:val="00C5393A"/>
    <w:rsid w:val="00C577EF"/>
    <w:rsid w:val="00C57D68"/>
    <w:rsid w:val="00C71156"/>
    <w:rsid w:val="00C76793"/>
    <w:rsid w:val="00C81219"/>
    <w:rsid w:val="00C8475A"/>
    <w:rsid w:val="00C85F99"/>
    <w:rsid w:val="00C864FE"/>
    <w:rsid w:val="00C9108A"/>
    <w:rsid w:val="00C92277"/>
    <w:rsid w:val="00C93FDD"/>
    <w:rsid w:val="00C948C8"/>
    <w:rsid w:val="00CA168C"/>
    <w:rsid w:val="00CA4601"/>
    <w:rsid w:val="00CB3A93"/>
    <w:rsid w:val="00CB6D94"/>
    <w:rsid w:val="00CC01F9"/>
    <w:rsid w:val="00CC1BCA"/>
    <w:rsid w:val="00CC1DF4"/>
    <w:rsid w:val="00CC233C"/>
    <w:rsid w:val="00CC2D2F"/>
    <w:rsid w:val="00CC2F21"/>
    <w:rsid w:val="00CC3CD6"/>
    <w:rsid w:val="00CC6A6B"/>
    <w:rsid w:val="00CC6C43"/>
    <w:rsid w:val="00CC7334"/>
    <w:rsid w:val="00CD1A95"/>
    <w:rsid w:val="00CD28F3"/>
    <w:rsid w:val="00CD3CAA"/>
    <w:rsid w:val="00CD6E73"/>
    <w:rsid w:val="00CE2347"/>
    <w:rsid w:val="00CE39B5"/>
    <w:rsid w:val="00CE7223"/>
    <w:rsid w:val="00CF394E"/>
    <w:rsid w:val="00CF5C4E"/>
    <w:rsid w:val="00D00A26"/>
    <w:rsid w:val="00D00F6E"/>
    <w:rsid w:val="00D0213C"/>
    <w:rsid w:val="00D023C6"/>
    <w:rsid w:val="00D03F6A"/>
    <w:rsid w:val="00D04775"/>
    <w:rsid w:val="00D0625F"/>
    <w:rsid w:val="00D0748B"/>
    <w:rsid w:val="00D07C2D"/>
    <w:rsid w:val="00D11396"/>
    <w:rsid w:val="00D176A3"/>
    <w:rsid w:val="00D2334B"/>
    <w:rsid w:val="00D2650E"/>
    <w:rsid w:val="00D27778"/>
    <w:rsid w:val="00D27EB5"/>
    <w:rsid w:val="00D31506"/>
    <w:rsid w:val="00D34031"/>
    <w:rsid w:val="00D4074A"/>
    <w:rsid w:val="00D42243"/>
    <w:rsid w:val="00D4352B"/>
    <w:rsid w:val="00D46B16"/>
    <w:rsid w:val="00D519CC"/>
    <w:rsid w:val="00D54C63"/>
    <w:rsid w:val="00D5614F"/>
    <w:rsid w:val="00D673FE"/>
    <w:rsid w:val="00D7065D"/>
    <w:rsid w:val="00D7088C"/>
    <w:rsid w:val="00D71D3A"/>
    <w:rsid w:val="00D80391"/>
    <w:rsid w:val="00D80551"/>
    <w:rsid w:val="00D81B30"/>
    <w:rsid w:val="00D85EE5"/>
    <w:rsid w:val="00D86132"/>
    <w:rsid w:val="00D8741A"/>
    <w:rsid w:val="00D91D3B"/>
    <w:rsid w:val="00D94724"/>
    <w:rsid w:val="00DA0673"/>
    <w:rsid w:val="00DA5070"/>
    <w:rsid w:val="00DA68AE"/>
    <w:rsid w:val="00DB3651"/>
    <w:rsid w:val="00DB3C1F"/>
    <w:rsid w:val="00DB45A1"/>
    <w:rsid w:val="00DB4CF6"/>
    <w:rsid w:val="00DB7D7B"/>
    <w:rsid w:val="00DC359D"/>
    <w:rsid w:val="00DC487A"/>
    <w:rsid w:val="00DD1CBC"/>
    <w:rsid w:val="00DD5B03"/>
    <w:rsid w:val="00DE4012"/>
    <w:rsid w:val="00DE4016"/>
    <w:rsid w:val="00DE6917"/>
    <w:rsid w:val="00DF3AF4"/>
    <w:rsid w:val="00E00459"/>
    <w:rsid w:val="00E01959"/>
    <w:rsid w:val="00E0598B"/>
    <w:rsid w:val="00E05DCF"/>
    <w:rsid w:val="00E10A4C"/>
    <w:rsid w:val="00E10E30"/>
    <w:rsid w:val="00E12B77"/>
    <w:rsid w:val="00E13F9C"/>
    <w:rsid w:val="00E153BB"/>
    <w:rsid w:val="00E16342"/>
    <w:rsid w:val="00E1690C"/>
    <w:rsid w:val="00E20D1A"/>
    <w:rsid w:val="00E255B7"/>
    <w:rsid w:val="00E262C7"/>
    <w:rsid w:val="00E30D44"/>
    <w:rsid w:val="00E3167B"/>
    <w:rsid w:val="00E35E6B"/>
    <w:rsid w:val="00E36034"/>
    <w:rsid w:val="00E44084"/>
    <w:rsid w:val="00E464F0"/>
    <w:rsid w:val="00E61224"/>
    <w:rsid w:val="00E61794"/>
    <w:rsid w:val="00E61BAB"/>
    <w:rsid w:val="00E6371B"/>
    <w:rsid w:val="00E6479D"/>
    <w:rsid w:val="00E67E7E"/>
    <w:rsid w:val="00E73132"/>
    <w:rsid w:val="00E73786"/>
    <w:rsid w:val="00E73EA8"/>
    <w:rsid w:val="00E745E2"/>
    <w:rsid w:val="00E82138"/>
    <w:rsid w:val="00E8320F"/>
    <w:rsid w:val="00E94A9A"/>
    <w:rsid w:val="00EA0356"/>
    <w:rsid w:val="00EA037A"/>
    <w:rsid w:val="00EA0724"/>
    <w:rsid w:val="00EA5E6B"/>
    <w:rsid w:val="00EA7EE7"/>
    <w:rsid w:val="00EB153A"/>
    <w:rsid w:val="00EB1700"/>
    <w:rsid w:val="00EB18D3"/>
    <w:rsid w:val="00EB4549"/>
    <w:rsid w:val="00EB5B47"/>
    <w:rsid w:val="00EB5C71"/>
    <w:rsid w:val="00EB6BA1"/>
    <w:rsid w:val="00EC02C4"/>
    <w:rsid w:val="00EC05DD"/>
    <w:rsid w:val="00EC38D8"/>
    <w:rsid w:val="00EC7C01"/>
    <w:rsid w:val="00ED0518"/>
    <w:rsid w:val="00ED0B19"/>
    <w:rsid w:val="00ED3223"/>
    <w:rsid w:val="00ED47B9"/>
    <w:rsid w:val="00ED5CEC"/>
    <w:rsid w:val="00ED60A9"/>
    <w:rsid w:val="00ED63A8"/>
    <w:rsid w:val="00EE0DF0"/>
    <w:rsid w:val="00EE3292"/>
    <w:rsid w:val="00EE4B53"/>
    <w:rsid w:val="00EE4C72"/>
    <w:rsid w:val="00EE54CB"/>
    <w:rsid w:val="00EE61BA"/>
    <w:rsid w:val="00EE6DE4"/>
    <w:rsid w:val="00EF1CDE"/>
    <w:rsid w:val="00EF3EE7"/>
    <w:rsid w:val="00F03A10"/>
    <w:rsid w:val="00F064B1"/>
    <w:rsid w:val="00F100D6"/>
    <w:rsid w:val="00F12E76"/>
    <w:rsid w:val="00F13282"/>
    <w:rsid w:val="00F159E2"/>
    <w:rsid w:val="00F17F31"/>
    <w:rsid w:val="00F201E0"/>
    <w:rsid w:val="00F20875"/>
    <w:rsid w:val="00F22849"/>
    <w:rsid w:val="00F23918"/>
    <w:rsid w:val="00F3161C"/>
    <w:rsid w:val="00F32759"/>
    <w:rsid w:val="00F355BB"/>
    <w:rsid w:val="00F36B3C"/>
    <w:rsid w:val="00F40478"/>
    <w:rsid w:val="00F4173D"/>
    <w:rsid w:val="00F41FC1"/>
    <w:rsid w:val="00F43A8D"/>
    <w:rsid w:val="00F478F3"/>
    <w:rsid w:val="00F51B72"/>
    <w:rsid w:val="00F53584"/>
    <w:rsid w:val="00F53D14"/>
    <w:rsid w:val="00F55EB7"/>
    <w:rsid w:val="00F606E9"/>
    <w:rsid w:val="00F608A3"/>
    <w:rsid w:val="00F61187"/>
    <w:rsid w:val="00F62870"/>
    <w:rsid w:val="00F71227"/>
    <w:rsid w:val="00F71B7C"/>
    <w:rsid w:val="00F71CA0"/>
    <w:rsid w:val="00F756D6"/>
    <w:rsid w:val="00F818C5"/>
    <w:rsid w:val="00F8239A"/>
    <w:rsid w:val="00F83687"/>
    <w:rsid w:val="00F8467A"/>
    <w:rsid w:val="00F846B2"/>
    <w:rsid w:val="00F84975"/>
    <w:rsid w:val="00F84E33"/>
    <w:rsid w:val="00F85996"/>
    <w:rsid w:val="00F87A5C"/>
    <w:rsid w:val="00F91E18"/>
    <w:rsid w:val="00F93EC8"/>
    <w:rsid w:val="00F95915"/>
    <w:rsid w:val="00FA0A34"/>
    <w:rsid w:val="00FA1F9E"/>
    <w:rsid w:val="00FA3A0C"/>
    <w:rsid w:val="00FA7DD2"/>
    <w:rsid w:val="00FB017B"/>
    <w:rsid w:val="00FB07AA"/>
    <w:rsid w:val="00FB0DF7"/>
    <w:rsid w:val="00FB6FC2"/>
    <w:rsid w:val="00FB7BBE"/>
    <w:rsid w:val="00FB7DBB"/>
    <w:rsid w:val="00FC1B98"/>
    <w:rsid w:val="00FC1D2F"/>
    <w:rsid w:val="00FC2645"/>
    <w:rsid w:val="00FC274D"/>
    <w:rsid w:val="00FC4DE9"/>
    <w:rsid w:val="00FC7B3E"/>
    <w:rsid w:val="00FD15E6"/>
    <w:rsid w:val="00FD1A0F"/>
    <w:rsid w:val="00FD1B81"/>
    <w:rsid w:val="00FD2ADC"/>
    <w:rsid w:val="00FD3E10"/>
    <w:rsid w:val="00FD6B5E"/>
    <w:rsid w:val="00FD6D4C"/>
    <w:rsid w:val="00FD7E93"/>
    <w:rsid w:val="00FE079C"/>
    <w:rsid w:val="00FE4D76"/>
    <w:rsid w:val="00FE70B3"/>
    <w:rsid w:val="00FF096E"/>
    <w:rsid w:val="00FF0F40"/>
    <w:rsid w:val="00FF36E5"/>
    <w:rsid w:val="00FF52ED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1A7BB"/>
  <w15:docId w15:val="{101B38C7-CA5A-4868-A531-B4BC42D0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-284"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tabs>
        <w:tab w:val="left" w:pos="2127"/>
        <w:tab w:val="left" w:pos="3119"/>
        <w:tab w:val="left" w:pos="4253"/>
        <w:tab w:val="left" w:pos="5670"/>
        <w:tab w:val="left" w:pos="6946"/>
        <w:tab w:val="left" w:pos="7938"/>
      </w:tabs>
      <w:ind w:left="-284" w:right="-284" w:firstLine="284"/>
      <w:jc w:val="center"/>
    </w:pPr>
    <w:rPr>
      <w:b/>
      <w:bC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9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9B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 Kühe  netto</a:t>
            </a:r>
          </a:p>
        </c:rich>
      </c:tx>
      <c:layout>
        <c:manualLayout>
          <c:xMode val="edge"/>
          <c:yMode val="edge"/>
          <c:x val="0.42684766214177977"/>
          <c:y val="0"/>
        </c:manualLayout>
      </c:layout>
      <c:overlay val="0"/>
      <c:spPr>
        <a:noFill/>
        <a:ln w="2013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497737556561084E-2"/>
          <c:y val="0.19796954314720813"/>
          <c:w val="0.83107088989441935"/>
          <c:h val="0.6598984771573603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0133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</c:v>
                </c:pt>
                <c:pt idx="1">
                  <c:v>Feb.</c:v>
                </c:pt>
                <c:pt idx="2">
                  <c:v>März/April</c:v>
                </c:pt>
                <c:pt idx="3">
                  <c:v>Mai</c:v>
                </c:pt>
                <c:pt idx="4">
                  <c:v>Juni/Juli</c:v>
                </c:pt>
                <c:pt idx="5">
                  <c:v>Aug.</c:v>
                </c:pt>
                <c:pt idx="6">
                  <c:v>Sept.</c:v>
                </c:pt>
                <c:pt idx="7">
                  <c:v>Okt./Nov.</c:v>
                </c:pt>
                <c:pt idx="8">
                  <c:v>Dez.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1690</c:v>
                </c:pt>
                <c:pt idx="1">
                  <c:v>1865</c:v>
                </c:pt>
                <c:pt idx="2">
                  <c:v>1736</c:v>
                </c:pt>
                <c:pt idx="3">
                  <c:v>1736</c:v>
                </c:pt>
                <c:pt idx="4">
                  <c:v>1740</c:v>
                </c:pt>
                <c:pt idx="5">
                  <c:v>2141</c:v>
                </c:pt>
                <c:pt idx="6">
                  <c:v>1908</c:v>
                </c:pt>
                <c:pt idx="7">
                  <c:v>2062</c:v>
                </c:pt>
                <c:pt idx="8">
                  <c:v>1847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419-43CE-8124-63BADBBAE6DD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0133">
              <a:solidFill>
                <a:srgbClr val="FF00FF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</c:v>
                </c:pt>
                <c:pt idx="1">
                  <c:v>Feb.</c:v>
                </c:pt>
                <c:pt idx="2">
                  <c:v>März/April</c:v>
                </c:pt>
                <c:pt idx="3">
                  <c:v>Mai</c:v>
                </c:pt>
                <c:pt idx="4">
                  <c:v>Juni/Juli</c:v>
                </c:pt>
                <c:pt idx="5">
                  <c:v>Aug.</c:v>
                </c:pt>
                <c:pt idx="6">
                  <c:v>Sept.</c:v>
                </c:pt>
                <c:pt idx="7">
                  <c:v>Okt./Nov.</c:v>
                </c:pt>
                <c:pt idx="8">
                  <c:v>Dez.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1981</c:v>
                </c:pt>
                <c:pt idx="1">
                  <c:v>1845</c:v>
                </c:pt>
                <c:pt idx="2">
                  <c:v>2064.44</c:v>
                </c:pt>
                <c:pt idx="3">
                  <c:v>2032</c:v>
                </c:pt>
                <c:pt idx="4">
                  <c:v>1879</c:v>
                </c:pt>
                <c:pt idx="5">
                  <c:v>1908</c:v>
                </c:pt>
                <c:pt idx="6">
                  <c:v>1732.5</c:v>
                </c:pt>
                <c:pt idx="7">
                  <c:v>1784</c:v>
                </c:pt>
                <c:pt idx="8">
                  <c:v>1771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419-43CE-8124-63BADBBAE6DD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30200">
              <a:solidFill>
                <a:srgbClr val="339966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</c:v>
                </c:pt>
                <c:pt idx="1">
                  <c:v>Feb.</c:v>
                </c:pt>
                <c:pt idx="2">
                  <c:v>März/April</c:v>
                </c:pt>
                <c:pt idx="3">
                  <c:v>Mai</c:v>
                </c:pt>
                <c:pt idx="4">
                  <c:v>Juni/Juli</c:v>
                </c:pt>
                <c:pt idx="5">
                  <c:v>Aug.</c:v>
                </c:pt>
                <c:pt idx="6">
                  <c:v>Sept.</c:v>
                </c:pt>
                <c:pt idx="7">
                  <c:v>Okt./Nov.</c:v>
                </c:pt>
                <c:pt idx="8">
                  <c:v>Dez.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1796</c:v>
                </c:pt>
                <c:pt idx="1">
                  <c:v>1858</c:v>
                </c:pt>
                <c:pt idx="2">
                  <c:v>1804</c:v>
                </c:pt>
                <c:pt idx="3">
                  <c:v>1987</c:v>
                </c:pt>
                <c:pt idx="4">
                  <c:v>2282</c:v>
                </c:pt>
                <c:pt idx="5">
                  <c:v>2114</c:v>
                </c:pt>
                <c:pt idx="6">
                  <c:v>2183</c:v>
                </c:pt>
                <c:pt idx="7">
                  <c:v>1920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419-43CE-8124-63BADBBAE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016480"/>
        <c:axId val="1"/>
      </c:lineChart>
      <c:catAx>
        <c:axId val="1570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350"/>
          <c:min val="1550"/>
        </c:scaling>
        <c:delete val="0"/>
        <c:axPos val="l"/>
        <c:majorGridlines>
          <c:spPr>
            <a:ln w="2517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1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016480"/>
        <c:crosses val="autoZero"/>
        <c:crossBetween val="between"/>
        <c:majorUnit val="100"/>
      </c:valAx>
      <c:spPr>
        <a:noFill/>
        <a:ln w="2517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44645550527905"/>
          <c:y val="1.015228426395939E-2"/>
          <c:w val="0.10407239819004525"/>
          <c:h val="0.18274111675126903"/>
        </c:manualLayout>
      </c:layout>
      <c:overlay val="0"/>
      <c:spPr>
        <a:noFill/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59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attFill prst="pct5">
      <a:fgClr>
        <a:srgbClr val="FFFFFF"/>
      </a:fgClr>
      <a:bgClr>
        <a:srgbClr val="FFFFFF"/>
      </a:bgClr>
    </a:pattFill>
    <a:ln>
      <a:noFill/>
    </a:ln>
  </c:spPr>
  <c:txPr>
    <a:bodyPr/>
    <a:lstStyle/>
    <a:p>
      <a:pPr>
        <a:defRPr sz="69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de-AT"/>
              <a:t>Kalbinnen netto</a:t>
            </a:r>
          </a:p>
        </c:rich>
      </c:tx>
      <c:layout>
        <c:manualLayout>
          <c:xMode val="edge"/>
          <c:yMode val="edge"/>
          <c:x val="0.43053435114503819"/>
          <c:y val="1.9801980198019802E-2"/>
        </c:manualLayout>
      </c:layout>
      <c:overlay val="0"/>
      <c:spPr>
        <a:noFill/>
        <a:ln w="201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1603053435114504E-2"/>
          <c:y val="0.18316831683168316"/>
          <c:w val="0.83053435114503815"/>
          <c:h val="0.6782178217821782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ln w="20162">
              <a:solidFill>
                <a:srgbClr val="00008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</c:v>
                </c:pt>
                <c:pt idx="1">
                  <c:v>Feb.</c:v>
                </c:pt>
                <c:pt idx="2">
                  <c:v>März/April</c:v>
                </c:pt>
                <c:pt idx="3">
                  <c:v>Mai</c:v>
                </c:pt>
                <c:pt idx="4">
                  <c:v>Juni/Juli</c:v>
                </c:pt>
                <c:pt idx="5">
                  <c:v>Aug.</c:v>
                </c:pt>
                <c:pt idx="6">
                  <c:v>Sept.</c:v>
                </c:pt>
                <c:pt idx="7">
                  <c:v>Okt./Nov.</c:v>
                </c:pt>
                <c:pt idx="8">
                  <c:v>Dez.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1753.49</c:v>
                </c:pt>
                <c:pt idx="1">
                  <c:v>1763</c:v>
                </c:pt>
                <c:pt idx="2">
                  <c:v>1732</c:v>
                </c:pt>
                <c:pt idx="3">
                  <c:v>1732</c:v>
                </c:pt>
                <c:pt idx="4">
                  <c:v>1680</c:v>
                </c:pt>
                <c:pt idx="5">
                  <c:v>1843</c:v>
                </c:pt>
                <c:pt idx="6">
                  <c:v>1797</c:v>
                </c:pt>
                <c:pt idx="7">
                  <c:v>1781</c:v>
                </c:pt>
                <c:pt idx="8">
                  <c:v>1721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03F-474F-BAA9-114472FB69A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ln w="20162">
              <a:solidFill>
                <a:srgbClr val="FF00FF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</c:v>
                </c:pt>
                <c:pt idx="1">
                  <c:v>Feb.</c:v>
                </c:pt>
                <c:pt idx="2">
                  <c:v>März/April</c:v>
                </c:pt>
                <c:pt idx="3">
                  <c:v>Mai</c:v>
                </c:pt>
                <c:pt idx="4">
                  <c:v>Juni/Juli</c:v>
                </c:pt>
                <c:pt idx="5">
                  <c:v>Aug.</c:v>
                </c:pt>
                <c:pt idx="6">
                  <c:v>Sept.</c:v>
                </c:pt>
                <c:pt idx="7">
                  <c:v>Okt./Nov.</c:v>
                </c:pt>
                <c:pt idx="8">
                  <c:v>Dez.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1747</c:v>
                </c:pt>
                <c:pt idx="1">
                  <c:v>1784</c:v>
                </c:pt>
                <c:pt idx="2">
                  <c:v>1796</c:v>
                </c:pt>
                <c:pt idx="3">
                  <c:v>1766</c:v>
                </c:pt>
                <c:pt idx="4">
                  <c:v>1627</c:v>
                </c:pt>
                <c:pt idx="5">
                  <c:v>1710</c:v>
                </c:pt>
                <c:pt idx="6">
                  <c:v>1658</c:v>
                </c:pt>
                <c:pt idx="7">
                  <c:v>1628</c:v>
                </c:pt>
                <c:pt idx="8">
                  <c:v>1669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3F-474F-BAA9-114472FB69A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2022</c:v>
                </c:pt>
              </c:strCache>
            </c:strRef>
          </c:tx>
          <c:spPr>
            <a:ln w="30244">
              <a:solidFill>
                <a:srgbClr val="339966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Jän.</c:v>
                </c:pt>
                <c:pt idx="1">
                  <c:v>Feb.</c:v>
                </c:pt>
                <c:pt idx="2">
                  <c:v>März/April</c:v>
                </c:pt>
                <c:pt idx="3">
                  <c:v>Mai</c:v>
                </c:pt>
                <c:pt idx="4">
                  <c:v>Juni/Juli</c:v>
                </c:pt>
                <c:pt idx="5">
                  <c:v>Aug.</c:v>
                </c:pt>
                <c:pt idx="6">
                  <c:v>Sept.</c:v>
                </c:pt>
                <c:pt idx="7">
                  <c:v>Okt./Nov.</c:v>
                </c:pt>
                <c:pt idx="8">
                  <c:v>Dez.</c:v>
                </c:pt>
              </c:strCache>
            </c:strRef>
          </c:cat>
          <c:val>
            <c:numRef>
              <c:f>Sheet1!$B$4:$J$4</c:f>
              <c:numCache>
                <c:formatCode>General</c:formatCode>
                <c:ptCount val="9"/>
                <c:pt idx="0">
                  <c:v>1875</c:v>
                </c:pt>
                <c:pt idx="1">
                  <c:v>1777</c:v>
                </c:pt>
                <c:pt idx="2">
                  <c:v>1704</c:v>
                </c:pt>
                <c:pt idx="3">
                  <c:v>1703</c:v>
                </c:pt>
                <c:pt idx="4">
                  <c:v>1685</c:v>
                </c:pt>
                <c:pt idx="5">
                  <c:v>1755</c:v>
                </c:pt>
                <c:pt idx="6">
                  <c:v>2050</c:v>
                </c:pt>
                <c:pt idx="7">
                  <c:v>1984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03F-474F-BAA9-114472FB6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016480"/>
        <c:axId val="1"/>
      </c:lineChart>
      <c:catAx>
        <c:axId val="15701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2200"/>
          <c:min val="1500"/>
        </c:scaling>
        <c:delete val="0"/>
        <c:axPos val="l"/>
        <c:majorGridlines>
          <c:spPr>
            <a:ln w="2520">
              <a:solidFill>
                <a:srgbClr val="000000"/>
              </a:solidFill>
              <a:prstDash val="solid"/>
            </a:ln>
          </c:spPr>
        </c:majorGridlines>
        <c:numFmt formatCode="#.000" sourceLinked="0"/>
        <c:majorTickMark val="out"/>
        <c:minorTickMark val="none"/>
        <c:tickLblPos val="nextTo"/>
        <c:spPr>
          <a:ln w="252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57016480"/>
        <c:crosses val="autoZero"/>
        <c:crossBetween val="between"/>
        <c:majorUnit val="100"/>
      </c:valAx>
      <c:spPr>
        <a:noFill/>
        <a:ln w="2520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3206106870229013"/>
          <c:y val="0"/>
          <c:w val="9.6183206106870228E-2"/>
          <c:h val="0.17821782178217821"/>
        </c:manualLayout>
      </c:layout>
      <c:overlay val="0"/>
      <c:spPr>
        <a:noFill/>
        <a:ln w="2520">
          <a:solidFill>
            <a:srgbClr val="000000"/>
          </a:solidFill>
          <a:prstDash val="solid"/>
        </a:ln>
      </c:spPr>
      <c:txPr>
        <a:bodyPr/>
        <a:lstStyle/>
        <a:p>
          <a:pPr>
            <a:defRPr sz="583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legend>
    <c:plotVisOnly val="1"/>
    <c:dispBlanksAs val="gap"/>
    <c:showDLblsOverMax val="0"/>
  </c:chart>
  <c:spPr>
    <a:pattFill prst="pct5">
      <a:fgClr>
        <a:srgbClr val="FFFFFF"/>
      </a:fgClr>
      <a:bgClr>
        <a:srgbClr val="FFFFFF"/>
      </a:bgClr>
    </a:pattFill>
    <a:ln>
      <a:noFill/>
    </a:ln>
  </c:spPr>
  <c:txPr>
    <a:bodyPr/>
    <a:lstStyle/>
    <a:p>
      <a:pPr>
        <a:defRPr sz="71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A150-72B2-4DD6-948D-689CBA8E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Zuchtrinder– und Kälberversteigerung in Regau</vt:lpstr>
    </vt:vector>
  </TitlesOfParts>
  <Company>Landwirtschaftskammer OÖ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Zuchtrinder– und Kälberversteigerung in Regau</dc:title>
  <dc:creator>stocthe</dc:creator>
  <cp:lastModifiedBy>Gstöttinger Franz</cp:lastModifiedBy>
  <cp:revision>5</cp:revision>
  <cp:lastPrinted>2014-11-25T09:59:00Z</cp:lastPrinted>
  <dcterms:created xsi:type="dcterms:W3CDTF">2022-11-02T14:49:00Z</dcterms:created>
  <dcterms:modified xsi:type="dcterms:W3CDTF">2022-11-03T09:05:00Z</dcterms:modified>
</cp:coreProperties>
</file>