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CD" w:rsidRPr="004863EE" w:rsidRDefault="00387DCD" w:rsidP="00823B17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8"/>
        </w:rPr>
        <w:t>Zuchtrinder– und Kälberver</w:t>
      </w:r>
      <w:r w:rsidR="000A1B3F">
        <w:rPr>
          <w:rFonts w:ascii="Arial" w:hAnsi="Arial" w:cs="Arial"/>
          <w:b/>
          <w:bCs/>
          <w:sz w:val="28"/>
        </w:rPr>
        <w:t xml:space="preserve">steigerung in Regau, </w:t>
      </w:r>
      <w:r w:rsidR="006373FD">
        <w:rPr>
          <w:rFonts w:ascii="Arial" w:hAnsi="Arial" w:cs="Arial"/>
          <w:b/>
          <w:bCs/>
          <w:sz w:val="26"/>
          <w:szCs w:val="26"/>
        </w:rPr>
        <w:t>Dienstag 02. Mai</w:t>
      </w:r>
      <w:r w:rsidR="0017173F">
        <w:rPr>
          <w:rFonts w:ascii="Arial" w:hAnsi="Arial" w:cs="Arial"/>
          <w:b/>
          <w:bCs/>
          <w:sz w:val="26"/>
          <w:szCs w:val="26"/>
        </w:rPr>
        <w:t xml:space="preserve"> 2017</w:t>
      </w:r>
      <w:r w:rsidR="004D020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87DCD" w:rsidRPr="00A635EF" w:rsidRDefault="00387DCD">
      <w:pPr>
        <w:pStyle w:val="Blocktext"/>
        <w:ind w:right="0"/>
        <w:rPr>
          <w:rFonts w:ascii="Arial" w:hAnsi="Arial" w:cs="Arial"/>
          <w:b w:val="0"/>
          <w:bCs w:val="0"/>
          <w:sz w:val="8"/>
          <w:szCs w:val="8"/>
        </w:rPr>
      </w:pPr>
    </w:p>
    <w:p w:rsidR="00A02FB1" w:rsidRDefault="00A02FB1" w:rsidP="0060365D">
      <w:pPr>
        <w:pStyle w:val="Blocktext"/>
        <w:ind w:left="0" w:right="0" w:firstLine="0"/>
        <w:jc w:val="left"/>
        <w:rPr>
          <w:rFonts w:ascii="Arial" w:hAnsi="Arial" w:cs="Arial"/>
          <w:sz w:val="24"/>
          <w:u w:val="single"/>
        </w:rPr>
      </w:pPr>
    </w:p>
    <w:p w:rsidR="00BC2D6C" w:rsidRDefault="006373FD">
      <w:pPr>
        <w:pStyle w:val="Blocktext"/>
        <w:ind w:right="0" w:firstLine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Flotter Marktverlauf in Regau</w:t>
      </w:r>
      <w:r w:rsidR="000076CF">
        <w:rPr>
          <w:rFonts w:ascii="Arial" w:hAnsi="Arial" w:cs="Arial"/>
          <w:sz w:val="24"/>
          <w:u w:val="single"/>
        </w:rPr>
        <w:t>!</w:t>
      </w:r>
    </w:p>
    <w:p w:rsidR="00387DCD" w:rsidRDefault="00387D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8"/>
          <w:szCs w:val="8"/>
        </w:rPr>
      </w:pPr>
    </w:p>
    <w:p w:rsidR="00CD6E73" w:rsidRPr="00A635EF" w:rsidRDefault="00CD6E73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8"/>
          <w:szCs w:val="8"/>
        </w:rPr>
      </w:pPr>
    </w:p>
    <w:p w:rsidR="000076CF" w:rsidRDefault="00472AB6" w:rsidP="00FD2ADC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  <w:bookmarkStart w:id="0" w:name="_GoBack"/>
      <w:r>
        <w:rPr>
          <w:rFonts w:ascii="Arial" w:hAnsi="Arial" w:cs="Arial"/>
          <w:sz w:val="21"/>
        </w:rPr>
        <w:t>Bei der</w:t>
      </w:r>
      <w:r w:rsidR="0083184D">
        <w:rPr>
          <w:rFonts w:ascii="Arial" w:hAnsi="Arial" w:cs="Arial"/>
          <w:sz w:val="21"/>
        </w:rPr>
        <w:t xml:space="preserve"> Zuchtrinderversteigerung vom </w:t>
      </w:r>
      <w:r w:rsidR="006373FD">
        <w:rPr>
          <w:rFonts w:ascii="Arial" w:hAnsi="Arial" w:cs="Arial"/>
          <w:sz w:val="21"/>
        </w:rPr>
        <w:t>02. Mai</w:t>
      </w:r>
      <w:r w:rsidR="000863D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konnte </w:t>
      </w:r>
      <w:r w:rsidR="0017173F">
        <w:rPr>
          <w:rFonts w:ascii="Arial" w:hAnsi="Arial" w:cs="Arial"/>
          <w:sz w:val="21"/>
        </w:rPr>
        <w:t>wiederum ein großer Auftrieb</w:t>
      </w:r>
      <w:r>
        <w:rPr>
          <w:rFonts w:ascii="Arial" w:hAnsi="Arial" w:cs="Arial"/>
          <w:sz w:val="21"/>
        </w:rPr>
        <w:t xml:space="preserve"> verzeichnet werden. Sehr viele Mitgliedsbetriebe nutzten die Gelegenheit und besuchten die Versteigerung. </w:t>
      </w:r>
      <w:r w:rsidR="00CD6E73">
        <w:rPr>
          <w:rFonts w:ascii="Arial" w:hAnsi="Arial" w:cs="Arial"/>
          <w:sz w:val="21"/>
        </w:rPr>
        <w:t>Die Nach</w:t>
      </w:r>
      <w:r w:rsidR="008B67A0">
        <w:rPr>
          <w:rFonts w:ascii="Arial" w:hAnsi="Arial" w:cs="Arial"/>
          <w:sz w:val="21"/>
        </w:rPr>
        <w:t xml:space="preserve">frage nach trächtigen Kalbinnen </w:t>
      </w:r>
      <w:r w:rsidR="006373FD">
        <w:rPr>
          <w:rFonts w:ascii="Arial" w:hAnsi="Arial" w:cs="Arial"/>
          <w:sz w:val="21"/>
        </w:rPr>
        <w:t>für den Türkei-Export war wiederum sehr lebhaft wenngleich auch nicht so überhitzt wie bei der März-Versteigerung</w:t>
      </w:r>
      <w:r w:rsidR="008B67A0">
        <w:rPr>
          <w:rFonts w:ascii="Arial" w:hAnsi="Arial" w:cs="Arial"/>
          <w:sz w:val="21"/>
        </w:rPr>
        <w:t>.</w:t>
      </w:r>
      <w:r w:rsidR="00857F14">
        <w:rPr>
          <w:rFonts w:ascii="Arial" w:hAnsi="Arial" w:cs="Arial"/>
          <w:sz w:val="21"/>
        </w:rPr>
        <w:t xml:space="preserve"> </w:t>
      </w:r>
      <w:r w:rsidR="008B67A0">
        <w:rPr>
          <w:rFonts w:ascii="Arial" w:hAnsi="Arial" w:cs="Arial"/>
          <w:sz w:val="21"/>
        </w:rPr>
        <w:t xml:space="preserve">Insgesamt wurden von den anwesenden Firmen </w:t>
      </w:r>
      <w:r w:rsidR="006373FD">
        <w:rPr>
          <w:rFonts w:ascii="Arial" w:hAnsi="Arial" w:cs="Arial"/>
          <w:sz w:val="21"/>
        </w:rPr>
        <w:t>45</w:t>
      </w:r>
      <w:r w:rsidR="008B67A0">
        <w:rPr>
          <w:rFonts w:ascii="Arial" w:hAnsi="Arial" w:cs="Arial"/>
          <w:sz w:val="21"/>
        </w:rPr>
        <w:t xml:space="preserve"> trächtige Kalbinnen zum Durchschnittspreis von € 2.</w:t>
      </w:r>
      <w:r w:rsidR="006373FD">
        <w:rPr>
          <w:rFonts w:ascii="Arial" w:hAnsi="Arial" w:cs="Arial"/>
          <w:sz w:val="21"/>
        </w:rPr>
        <w:t>240</w:t>
      </w:r>
      <w:r w:rsidR="008B67A0">
        <w:rPr>
          <w:rFonts w:ascii="Arial" w:hAnsi="Arial" w:cs="Arial"/>
          <w:sz w:val="21"/>
        </w:rPr>
        <w:t>,- angekauft. Die Preisspanne reichte je nach Qualität von € 1.</w:t>
      </w:r>
      <w:r w:rsidR="006373FD">
        <w:rPr>
          <w:rFonts w:ascii="Arial" w:hAnsi="Arial" w:cs="Arial"/>
          <w:sz w:val="21"/>
        </w:rPr>
        <w:t>90</w:t>
      </w:r>
      <w:r w:rsidR="008B67A0">
        <w:rPr>
          <w:rFonts w:ascii="Arial" w:hAnsi="Arial" w:cs="Arial"/>
          <w:sz w:val="21"/>
        </w:rPr>
        <w:t>0,- bis € 2.</w:t>
      </w:r>
      <w:r w:rsidR="006373FD">
        <w:rPr>
          <w:rFonts w:ascii="Arial" w:hAnsi="Arial" w:cs="Arial"/>
          <w:sz w:val="21"/>
        </w:rPr>
        <w:t>48</w:t>
      </w:r>
      <w:r w:rsidR="008B67A0">
        <w:rPr>
          <w:rFonts w:ascii="Arial" w:hAnsi="Arial" w:cs="Arial"/>
          <w:sz w:val="21"/>
        </w:rPr>
        <w:t xml:space="preserve">0,-. </w:t>
      </w:r>
      <w:r w:rsidR="006373FD">
        <w:rPr>
          <w:rFonts w:ascii="Arial" w:hAnsi="Arial" w:cs="Arial"/>
          <w:sz w:val="21"/>
        </w:rPr>
        <w:t>7</w:t>
      </w:r>
      <w:r w:rsidR="00CD6E73">
        <w:rPr>
          <w:rFonts w:ascii="Arial" w:hAnsi="Arial" w:cs="Arial"/>
          <w:sz w:val="21"/>
        </w:rPr>
        <w:t xml:space="preserve"> Hochträchtige Kalbinnen sowie </w:t>
      </w:r>
      <w:r w:rsidR="006373FD">
        <w:rPr>
          <w:rFonts w:ascii="Arial" w:hAnsi="Arial" w:cs="Arial"/>
          <w:sz w:val="21"/>
        </w:rPr>
        <w:t>10</w:t>
      </w:r>
      <w:r w:rsidR="00CD6E73">
        <w:rPr>
          <w:rFonts w:ascii="Arial" w:hAnsi="Arial" w:cs="Arial"/>
          <w:sz w:val="21"/>
        </w:rPr>
        <w:t xml:space="preserve"> Kühe in Milch wurden durch Landwirte aus der Region angekauft. </w:t>
      </w:r>
      <w:r w:rsidR="000A284B">
        <w:rPr>
          <w:rFonts w:ascii="Arial" w:hAnsi="Arial" w:cs="Arial"/>
          <w:sz w:val="21"/>
        </w:rPr>
        <w:t xml:space="preserve">Speziell bei den Kühen war die Nachfrage im Vergleich zu den letzten Versteigerungen </w:t>
      </w:r>
      <w:r w:rsidR="006373FD">
        <w:rPr>
          <w:rFonts w:ascii="Arial" w:hAnsi="Arial" w:cs="Arial"/>
          <w:sz w:val="21"/>
        </w:rPr>
        <w:t>wieder deutlich lebhafter</w:t>
      </w:r>
      <w:r w:rsidR="000A284B">
        <w:rPr>
          <w:rFonts w:ascii="Arial" w:hAnsi="Arial" w:cs="Arial"/>
          <w:sz w:val="21"/>
        </w:rPr>
        <w:t>. Wie sich die Preise für Milchkühe in nächster Zeit weiterentwickeln, wird sehr stark von der Entwicklung der Milchauszahlungspreise abhängig sein.</w:t>
      </w:r>
      <w:r w:rsidR="000A284B">
        <w:rPr>
          <w:rFonts w:ascii="Arial" w:hAnsi="Arial" w:cs="Arial"/>
          <w:sz w:val="21"/>
        </w:rPr>
        <w:br/>
        <w:t>G</w:t>
      </w:r>
      <w:r w:rsidR="003458E6">
        <w:rPr>
          <w:rFonts w:ascii="Arial" w:hAnsi="Arial" w:cs="Arial"/>
          <w:sz w:val="21"/>
        </w:rPr>
        <w:t xml:space="preserve">ute Preise </w:t>
      </w:r>
      <w:r w:rsidR="00B55F84">
        <w:rPr>
          <w:rFonts w:ascii="Arial" w:hAnsi="Arial" w:cs="Arial"/>
          <w:sz w:val="21"/>
        </w:rPr>
        <w:t xml:space="preserve">konnten auch </w:t>
      </w:r>
      <w:r w:rsidR="008479BB">
        <w:rPr>
          <w:rFonts w:ascii="Arial" w:hAnsi="Arial" w:cs="Arial"/>
          <w:sz w:val="21"/>
        </w:rPr>
        <w:t>bei den Zuchtkälbern</w:t>
      </w:r>
      <w:r w:rsidR="003458E6">
        <w:rPr>
          <w:rFonts w:ascii="Arial" w:hAnsi="Arial" w:cs="Arial"/>
          <w:sz w:val="21"/>
        </w:rPr>
        <w:t xml:space="preserve"> erzielt werden</w:t>
      </w:r>
      <w:r w:rsidR="008479BB">
        <w:rPr>
          <w:rFonts w:ascii="Arial" w:hAnsi="Arial" w:cs="Arial"/>
          <w:sz w:val="21"/>
        </w:rPr>
        <w:t xml:space="preserve">. </w:t>
      </w:r>
      <w:r w:rsidR="003458E6">
        <w:rPr>
          <w:rFonts w:ascii="Arial" w:hAnsi="Arial" w:cs="Arial"/>
          <w:sz w:val="21"/>
        </w:rPr>
        <w:t>Besonders gefragt waren Kälber über 100 kg mit überdurchschnittlichen Leistungen</w:t>
      </w:r>
      <w:r w:rsidR="008479BB">
        <w:rPr>
          <w:rFonts w:ascii="Arial" w:hAnsi="Arial" w:cs="Arial"/>
          <w:sz w:val="21"/>
        </w:rPr>
        <w:t xml:space="preserve">. Bei den männlichen und weiblichen Nutzkälbern war die </w:t>
      </w:r>
      <w:r w:rsidR="003458E6">
        <w:rPr>
          <w:rFonts w:ascii="Arial" w:hAnsi="Arial" w:cs="Arial"/>
          <w:sz w:val="21"/>
        </w:rPr>
        <w:t>Nachfrage</w:t>
      </w:r>
      <w:r w:rsidR="008479BB">
        <w:rPr>
          <w:rFonts w:ascii="Arial" w:hAnsi="Arial" w:cs="Arial"/>
          <w:sz w:val="21"/>
        </w:rPr>
        <w:t xml:space="preserve"> ebenfalls </w:t>
      </w:r>
      <w:r w:rsidR="0017173F">
        <w:rPr>
          <w:rFonts w:ascii="Arial" w:hAnsi="Arial" w:cs="Arial"/>
          <w:sz w:val="21"/>
        </w:rPr>
        <w:t>gut</w:t>
      </w:r>
      <w:r w:rsidR="008479BB">
        <w:rPr>
          <w:rFonts w:ascii="Arial" w:hAnsi="Arial" w:cs="Arial"/>
          <w:sz w:val="21"/>
        </w:rPr>
        <w:t xml:space="preserve">. </w:t>
      </w:r>
      <w:r w:rsidR="003458E6">
        <w:rPr>
          <w:rFonts w:ascii="Arial" w:hAnsi="Arial" w:cs="Arial"/>
          <w:sz w:val="21"/>
        </w:rPr>
        <w:t xml:space="preserve">Dies führte zu </w:t>
      </w:r>
      <w:r w:rsidR="00857F14">
        <w:rPr>
          <w:rFonts w:ascii="Arial" w:hAnsi="Arial" w:cs="Arial"/>
          <w:sz w:val="21"/>
        </w:rPr>
        <w:t>einer sehr zufriedenstellenden Preisbildung</w:t>
      </w:r>
      <w:r w:rsidR="003458E6">
        <w:rPr>
          <w:rFonts w:ascii="Arial" w:hAnsi="Arial" w:cs="Arial"/>
          <w:sz w:val="21"/>
        </w:rPr>
        <w:t xml:space="preserve"> in allen Kategorien.</w:t>
      </w:r>
    </w:p>
    <w:p w:rsidR="00387DCD" w:rsidRDefault="006373F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11</w:t>
      </w:r>
      <w:r w:rsidR="00387DCD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b/>
          <w:bCs/>
          <w:sz w:val="21"/>
        </w:rPr>
        <w:t>Kühe</w:t>
      </w:r>
      <w:r w:rsidR="00387DCD">
        <w:rPr>
          <w:rFonts w:ascii="Arial" w:hAnsi="Arial" w:cs="Arial"/>
          <w:sz w:val="21"/>
        </w:rPr>
        <w:t xml:space="preserve"> in</w:t>
      </w:r>
      <w:r w:rsidR="005F2DC6">
        <w:rPr>
          <w:rFonts w:ascii="Arial" w:hAnsi="Arial" w:cs="Arial"/>
          <w:sz w:val="21"/>
        </w:rPr>
        <w:t xml:space="preserve"> </w:t>
      </w:r>
      <w:r w:rsidR="0017173F">
        <w:rPr>
          <w:rFonts w:ascii="Arial" w:hAnsi="Arial" w:cs="Arial"/>
          <w:sz w:val="21"/>
        </w:rPr>
        <w:t>durchschnittlicher</w:t>
      </w:r>
      <w:r w:rsidR="0034756A">
        <w:rPr>
          <w:rFonts w:ascii="Arial" w:hAnsi="Arial" w:cs="Arial"/>
          <w:sz w:val="21"/>
        </w:rPr>
        <w:t xml:space="preserve"> Qualität</w:t>
      </w:r>
      <w:r w:rsidR="00387DCD">
        <w:rPr>
          <w:rFonts w:ascii="Arial" w:hAnsi="Arial" w:cs="Arial"/>
          <w:sz w:val="21"/>
        </w:rPr>
        <w:t xml:space="preserve"> (</w:t>
      </w:r>
      <w:r w:rsidR="000A284B">
        <w:rPr>
          <w:rFonts w:ascii="Arial" w:hAnsi="Arial" w:cs="Arial"/>
          <w:sz w:val="21"/>
        </w:rPr>
        <w:t>2</w:t>
      </w:r>
      <w:r>
        <w:rPr>
          <w:rFonts w:ascii="Arial" w:hAnsi="Arial" w:cs="Arial"/>
          <w:sz w:val="21"/>
        </w:rPr>
        <w:t>6,8</w:t>
      </w:r>
      <w:r w:rsidR="00D85EE5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sz w:val="21"/>
        </w:rPr>
        <w:t xml:space="preserve">l garantierte Eigenmessung im Schnitt) kosteten im Schnitt € </w:t>
      </w:r>
      <w:r>
        <w:rPr>
          <w:rFonts w:ascii="Arial" w:hAnsi="Arial" w:cs="Arial"/>
          <w:sz w:val="21"/>
        </w:rPr>
        <w:t>1.956,-</w:t>
      </w:r>
      <w:r w:rsidR="00925C17">
        <w:rPr>
          <w:rFonts w:ascii="Arial" w:hAnsi="Arial" w:cs="Arial"/>
          <w:sz w:val="21"/>
        </w:rPr>
        <w:t xml:space="preserve"> </w:t>
      </w:r>
      <w:r w:rsidR="003E556E">
        <w:rPr>
          <w:rFonts w:ascii="Arial" w:hAnsi="Arial" w:cs="Arial"/>
          <w:sz w:val="21"/>
        </w:rPr>
        <w:t>(</w:t>
      </w:r>
      <w:r>
        <w:rPr>
          <w:rFonts w:ascii="Arial" w:hAnsi="Arial" w:cs="Arial"/>
          <w:sz w:val="21"/>
        </w:rPr>
        <w:t>+</w:t>
      </w:r>
      <w:r w:rsidR="00F20875">
        <w:rPr>
          <w:rFonts w:ascii="Arial" w:hAnsi="Arial" w:cs="Arial"/>
          <w:sz w:val="21"/>
        </w:rPr>
        <w:t xml:space="preserve">€ </w:t>
      </w:r>
      <w:r>
        <w:rPr>
          <w:rFonts w:ascii="Arial" w:hAnsi="Arial" w:cs="Arial"/>
          <w:sz w:val="21"/>
        </w:rPr>
        <w:t>285,50</w:t>
      </w:r>
      <w:r w:rsidR="00441C71">
        <w:rPr>
          <w:rFonts w:ascii="Arial" w:hAnsi="Arial" w:cs="Arial"/>
          <w:sz w:val="21"/>
        </w:rPr>
        <w:t>)</w:t>
      </w:r>
      <w:r w:rsidR="00387DCD">
        <w:rPr>
          <w:rFonts w:ascii="Arial" w:hAnsi="Arial" w:cs="Arial"/>
          <w:sz w:val="21"/>
        </w:rPr>
        <w:t>. Zu</w:t>
      </w:r>
      <w:r w:rsidR="00C16707">
        <w:rPr>
          <w:rFonts w:ascii="Arial" w:hAnsi="Arial" w:cs="Arial"/>
          <w:sz w:val="21"/>
        </w:rPr>
        <w:t>m</w:t>
      </w:r>
      <w:r w:rsidR="00387DCD">
        <w:rPr>
          <w:rFonts w:ascii="Arial" w:hAnsi="Arial" w:cs="Arial"/>
          <w:sz w:val="21"/>
        </w:rPr>
        <w:t xml:space="preserve"> Spitzenpreis</w:t>
      </w:r>
      <w:r w:rsidR="00C16707">
        <w:rPr>
          <w:rFonts w:ascii="Arial" w:hAnsi="Arial" w:cs="Arial"/>
          <w:sz w:val="21"/>
        </w:rPr>
        <w:t xml:space="preserve"> </w:t>
      </w:r>
      <w:r w:rsidR="00361200">
        <w:rPr>
          <w:rFonts w:ascii="Arial" w:hAnsi="Arial" w:cs="Arial"/>
          <w:sz w:val="21"/>
        </w:rPr>
        <w:t xml:space="preserve">von € </w:t>
      </w:r>
      <w:r w:rsidR="004363A5">
        <w:rPr>
          <w:rFonts w:ascii="Arial" w:hAnsi="Arial" w:cs="Arial"/>
          <w:sz w:val="21"/>
        </w:rPr>
        <w:t>2.</w:t>
      </w:r>
      <w:r>
        <w:rPr>
          <w:rFonts w:ascii="Arial" w:hAnsi="Arial" w:cs="Arial"/>
          <w:sz w:val="21"/>
        </w:rPr>
        <w:t>44</w:t>
      </w:r>
      <w:r w:rsidR="004363A5">
        <w:rPr>
          <w:rFonts w:ascii="Arial" w:hAnsi="Arial" w:cs="Arial"/>
          <w:sz w:val="21"/>
        </w:rPr>
        <w:t>0</w:t>
      </w:r>
      <w:r w:rsidR="00361200">
        <w:rPr>
          <w:rFonts w:ascii="Arial" w:hAnsi="Arial" w:cs="Arial"/>
          <w:sz w:val="21"/>
        </w:rPr>
        <w:t>,-</w:t>
      </w:r>
      <w:r w:rsidR="00542D72">
        <w:rPr>
          <w:rFonts w:ascii="Arial" w:hAnsi="Arial" w:cs="Arial"/>
          <w:sz w:val="21"/>
        </w:rPr>
        <w:t xml:space="preserve"> </w:t>
      </w:r>
      <w:r w:rsidR="001024A3">
        <w:rPr>
          <w:rFonts w:ascii="Arial" w:hAnsi="Arial" w:cs="Arial"/>
          <w:sz w:val="21"/>
        </w:rPr>
        <w:t xml:space="preserve">verkaufte der </w:t>
      </w:r>
      <w:r w:rsidR="003458E6">
        <w:rPr>
          <w:rFonts w:ascii="Arial" w:hAnsi="Arial" w:cs="Arial"/>
          <w:sz w:val="21"/>
        </w:rPr>
        <w:t xml:space="preserve">Zuchtbetrieb </w:t>
      </w:r>
      <w:r>
        <w:rPr>
          <w:rFonts w:ascii="Arial" w:hAnsi="Arial" w:cs="Arial"/>
          <w:sz w:val="21"/>
        </w:rPr>
        <w:t>Humer aus Pitzenberg</w:t>
      </w:r>
      <w:r w:rsidR="0017173F">
        <w:rPr>
          <w:rFonts w:ascii="Arial" w:hAnsi="Arial" w:cs="Arial"/>
          <w:sz w:val="21"/>
        </w:rPr>
        <w:t xml:space="preserve"> </w:t>
      </w:r>
      <w:r w:rsidR="00E20D1A">
        <w:rPr>
          <w:rFonts w:ascii="Arial" w:hAnsi="Arial" w:cs="Arial"/>
          <w:sz w:val="21"/>
        </w:rPr>
        <w:t xml:space="preserve">eine </w:t>
      </w:r>
      <w:r w:rsidR="000A284B">
        <w:rPr>
          <w:rFonts w:ascii="Arial" w:hAnsi="Arial" w:cs="Arial"/>
          <w:sz w:val="21"/>
        </w:rPr>
        <w:t>Manigo</w:t>
      </w:r>
      <w:r w:rsidR="00E20D1A">
        <w:rPr>
          <w:rFonts w:ascii="Arial" w:hAnsi="Arial" w:cs="Arial"/>
          <w:sz w:val="21"/>
        </w:rPr>
        <w:t xml:space="preserve">-Tochter </w:t>
      </w:r>
      <w:r w:rsidR="0017173F">
        <w:rPr>
          <w:rFonts w:ascii="Arial" w:hAnsi="Arial" w:cs="Arial"/>
          <w:sz w:val="21"/>
        </w:rPr>
        <w:t xml:space="preserve">mit </w:t>
      </w:r>
      <w:r>
        <w:rPr>
          <w:rFonts w:ascii="Arial" w:hAnsi="Arial" w:cs="Arial"/>
          <w:sz w:val="21"/>
        </w:rPr>
        <w:t>Schauformat</w:t>
      </w:r>
      <w:r w:rsidR="00E20D1A">
        <w:rPr>
          <w:rFonts w:ascii="Arial" w:hAnsi="Arial" w:cs="Arial"/>
          <w:sz w:val="21"/>
        </w:rPr>
        <w:t>.</w:t>
      </w:r>
      <w:r w:rsidR="00857F14">
        <w:rPr>
          <w:rFonts w:ascii="Arial" w:hAnsi="Arial" w:cs="Arial"/>
          <w:sz w:val="21"/>
        </w:rPr>
        <w:t xml:space="preserve"> </w:t>
      </w:r>
    </w:p>
    <w:p w:rsidR="00387DCD" w:rsidRPr="00F32759" w:rsidRDefault="00387D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12"/>
          <w:szCs w:val="12"/>
        </w:rPr>
      </w:pPr>
    </w:p>
    <w:p w:rsidR="00203328" w:rsidRDefault="0095017E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Der Durchschnittspreis der </w:t>
      </w:r>
      <w:r w:rsidR="006373FD">
        <w:rPr>
          <w:rFonts w:ascii="Arial" w:hAnsi="Arial" w:cs="Arial"/>
          <w:sz w:val="21"/>
        </w:rPr>
        <w:t>52</w:t>
      </w:r>
      <w:r w:rsidR="009174E1">
        <w:rPr>
          <w:rFonts w:ascii="Arial" w:hAnsi="Arial" w:cs="Arial"/>
          <w:sz w:val="21"/>
        </w:rPr>
        <w:t xml:space="preserve"> </w:t>
      </w:r>
      <w:r w:rsidR="006373FD">
        <w:rPr>
          <w:rFonts w:ascii="Arial" w:hAnsi="Arial" w:cs="Arial"/>
          <w:sz w:val="21"/>
        </w:rPr>
        <w:t>verkauften</w:t>
      </w:r>
      <w:r w:rsidR="000A284B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b/>
          <w:bCs/>
          <w:sz w:val="21"/>
        </w:rPr>
        <w:t>Kalbinnen</w:t>
      </w:r>
      <w:r w:rsidR="00F91E18">
        <w:rPr>
          <w:rFonts w:ascii="Arial" w:hAnsi="Arial" w:cs="Arial"/>
          <w:b/>
          <w:bCs/>
          <w:sz w:val="21"/>
        </w:rPr>
        <w:t xml:space="preserve"> </w:t>
      </w:r>
      <w:r w:rsidR="00F53D14">
        <w:rPr>
          <w:rFonts w:ascii="Arial" w:hAnsi="Arial" w:cs="Arial"/>
          <w:bCs/>
          <w:sz w:val="21"/>
        </w:rPr>
        <w:t xml:space="preserve"> </w:t>
      </w:r>
      <w:r w:rsidR="00925555">
        <w:rPr>
          <w:rFonts w:ascii="Arial" w:hAnsi="Arial" w:cs="Arial"/>
          <w:bCs/>
          <w:sz w:val="21"/>
        </w:rPr>
        <w:t xml:space="preserve">war mit </w:t>
      </w:r>
      <w:r w:rsidR="006103B0">
        <w:rPr>
          <w:rFonts w:ascii="Arial" w:hAnsi="Arial" w:cs="Arial"/>
          <w:bCs/>
          <w:sz w:val="21"/>
        </w:rPr>
        <w:t xml:space="preserve">€ </w:t>
      </w:r>
      <w:r w:rsidR="000A284B">
        <w:rPr>
          <w:rFonts w:ascii="Arial" w:hAnsi="Arial" w:cs="Arial"/>
          <w:bCs/>
          <w:sz w:val="21"/>
        </w:rPr>
        <w:t>2</w:t>
      </w:r>
      <w:r w:rsidR="0054543F">
        <w:rPr>
          <w:rFonts w:ascii="Arial" w:hAnsi="Arial" w:cs="Arial"/>
          <w:bCs/>
          <w:sz w:val="21"/>
        </w:rPr>
        <w:t>.</w:t>
      </w:r>
      <w:r w:rsidR="006373FD">
        <w:rPr>
          <w:rFonts w:ascii="Arial" w:hAnsi="Arial" w:cs="Arial"/>
          <w:bCs/>
          <w:sz w:val="21"/>
        </w:rPr>
        <w:t>165,77</w:t>
      </w:r>
      <w:r w:rsidR="00150E15">
        <w:rPr>
          <w:rFonts w:ascii="Arial" w:hAnsi="Arial" w:cs="Arial"/>
          <w:bCs/>
          <w:sz w:val="21"/>
        </w:rPr>
        <w:t xml:space="preserve"> (</w:t>
      </w:r>
      <w:r w:rsidR="006373FD">
        <w:rPr>
          <w:rFonts w:ascii="Arial" w:hAnsi="Arial" w:cs="Arial"/>
          <w:bCs/>
          <w:sz w:val="21"/>
        </w:rPr>
        <w:t>-</w:t>
      </w:r>
      <w:r w:rsidR="00F71CA0">
        <w:rPr>
          <w:rFonts w:ascii="Arial" w:hAnsi="Arial" w:cs="Arial"/>
          <w:bCs/>
          <w:sz w:val="21"/>
        </w:rPr>
        <w:t xml:space="preserve">€ </w:t>
      </w:r>
      <w:r w:rsidR="006373FD">
        <w:rPr>
          <w:rFonts w:ascii="Arial" w:hAnsi="Arial" w:cs="Arial"/>
          <w:bCs/>
          <w:sz w:val="21"/>
        </w:rPr>
        <w:t>369,59</w:t>
      </w:r>
      <w:r w:rsidR="00DB3651">
        <w:rPr>
          <w:rFonts w:ascii="Arial" w:hAnsi="Arial" w:cs="Arial"/>
          <w:bCs/>
          <w:sz w:val="21"/>
        </w:rPr>
        <w:t xml:space="preserve">) </w:t>
      </w:r>
      <w:r w:rsidR="006373FD">
        <w:rPr>
          <w:rFonts w:ascii="Arial" w:hAnsi="Arial" w:cs="Arial"/>
          <w:bCs/>
          <w:sz w:val="21"/>
        </w:rPr>
        <w:t>weiterhin auf zufriedenstellendem Niveau</w:t>
      </w:r>
      <w:r w:rsidR="00F91E18">
        <w:rPr>
          <w:rFonts w:ascii="Arial" w:hAnsi="Arial" w:cs="Arial"/>
          <w:sz w:val="21"/>
        </w:rPr>
        <w:t>.</w:t>
      </w:r>
      <w:r w:rsidR="00F478F3">
        <w:rPr>
          <w:rFonts w:ascii="Arial" w:hAnsi="Arial" w:cs="Arial"/>
          <w:sz w:val="21"/>
        </w:rPr>
        <w:t xml:space="preserve"> </w:t>
      </w:r>
      <w:r w:rsidR="004913CA">
        <w:rPr>
          <w:rFonts w:ascii="Arial" w:hAnsi="Arial" w:cs="Arial"/>
          <w:sz w:val="21"/>
        </w:rPr>
        <w:t xml:space="preserve">Die Qualität war </w:t>
      </w:r>
      <w:r w:rsidR="00CC3CD6">
        <w:rPr>
          <w:rFonts w:ascii="Arial" w:hAnsi="Arial" w:cs="Arial"/>
          <w:sz w:val="21"/>
        </w:rPr>
        <w:t>speziell was die körperliche Entwicklung der Tiere angeht</w:t>
      </w:r>
      <w:r w:rsidR="00CC3CD6" w:rsidRPr="00CC3CD6">
        <w:rPr>
          <w:rFonts w:ascii="Arial" w:hAnsi="Arial" w:cs="Arial"/>
          <w:sz w:val="21"/>
        </w:rPr>
        <w:t xml:space="preserve"> </w:t>
      </w:r>
      <w:r w:rsidR="00CC3CD6">
        <w:rPr>
          <w:rFonts w:ascii="Arial" w:hAnsi="Arial" w:cs="Arial"/>
          <w:sz w:val="21"/>
        </w:rPr>
        <w:t>sehr unterschiedlich</w:t>
      </w:r>
      <w:r w:rsidR="004913CA">
        <w:rPr>
          <w:rFonts w:ascii="Arial" w:hAnsi="Arial" w:cs="Arial"/>
          <w:sz w:val="21"/>
        </w:rPr>
        <w:t>.</w:t>
      </w:r>
      <w:r w:rsidR="003458E6">
        <w:rPr>
          <w:rFonts w:ascii="Arial" w:hAnsi="Arial" w:cs="Arial"/>
          <w:sz w:val="21"/>
        </w:rPr>
        <w:t xml:space="preserve"> </w:t>
      </w:r>
      <w:r w:rsidR="004913CA">
        <w:rPr>
          <w:rFonts w:ascii="Arial" w:hAnsi="Arial" w:cs="Arial"/>
          <w:sz w:val="21"/>
        </w:rPr>
        <w:t xml:space="preserve">Den Höchstpreis von € </w:t>
      </w:r>
      <w:r w:rsidR="003A6BAE">
        <w:rPr>
          <w:rFonts w:ascii="Arial" w:hAnsi="Arial" w:cs="Arial"/>
          <w:sz w:val="21"/>
        </w:rPr>
        <w:t>2.</w:t>
      </w:r>
      <w:r w:rsidR="00CC3CD6">
        <w:rPr>
          <w:rFonts w:ascii="Arial" w:hAnsi="Arial" w:cs="Arial"/>
          <w:sz w:val="21"/>
        </w:rPr>
        <w:t>480</w:t>
      </w:r>
      <w:r w:rsidR="004913CA">
        <w:rPr>
          <w:rFonts w:ascii="Arial" w:hAnsi="Arial" w:cs="Arial"/>
          <w:sz w:val="21"/>
        </w:rPr>
        <w:t xml:space="preserve">,- </w:t>
      </w:r>
      <w:r w:rsidR="009E7A5B">
        <w:rPr>
          <w:rFonts w:ascii="Arial" w:hAnsi="Arial" w:cs="Arial"/>
          <w:sz w:val="21"/>
        </w:rPr>
        <w:t xml:space="preserve">erzielte der </w:t>
      </w:r>
      <w:r w:rsidR="0054543F">
        <w:rPr>
          <w:rFonts w:ascii="Arial" w:hAnsi="Arial" w:cs="Arial"/>
          <w:sz w:val="21"/>
        </w:rPr>
        <w:t xml:space="preserve">Zuchtbetrieb </w:t>
      </w:r>
      <w:r w:rsidR="00CC3CD6">
        <w:rPr>
          <w:rFonts w:ascii="Arial" w:hAnsi="Arial" w:cs="Arial"/>
          <w:sz w:val="21"/>
        </w:rPr>
        <w:t>Tiefenthaller aus Kirchham</w:t>
      </w:r>
      <w:r w:rsidR="009E7A5B">
        <w:rPr>
          <w:rFonts w:ascii="Arial" w:hAnsi="Arial" w:cs="Arial"/>
          <w:sz w:val="21"/>
        </w:rPr>
        <w:t xml:space="preserve"> für eine </w:t>
      </w:r>
      <w:r w:rsidR="00CD6E73">
        <w:rPr>
          <w:rFonts w:ascii="Arial" w:hAnsi="Arial" w:cs="Arial"/>
          <w:sz w:val="21"/>
        </w:rPr>
        <w:t xml:space="preserve">gut entwickelte </w:t>
      </w:r>
      <w:r w:rsidR="00CC3CD6">
        <w:rPr>
          <w:rFonts w:ascii="Arial" w:hAnsi="Arial" w:cs="Arial"/>
          <w:sz w:val="21"/>
        </w:rPr>
        <w:t>Regensburg</w:t>
      </w:r>
      <w:r w:rsidR="009E7A5B">
        <w:rPr>
          <w:rFonts w:ascii="Arial" w:hAnsi="Arial" w:cs="Arial"/>
          <w:sz w:val="21"/>
        </w:rPr>
        <w:t>-Tochter.</w:t>
      </w:r>
    </w:p>
    <w:bookmarkEnd w:id="0"/>
    <w:p w:rsidR="009E7A5B" w:rsidRDefault="009E7A5B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2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985"/>
        <w:gridCol w:w="2551"/>
      </w:tblGrid>
      <w:tr w:rsidR="00387DCD">
        <w:tc>
          <w:tcPr>
            <w:tcW w:w="3402" w:type="dxa"/>
          </w:tcPr>
          <w:p w:rsidR="00387DCD" w:rsidRDefault="00387DC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Zuchtrinder</w:t>
            </w:r>
          </w:p>
        </w:tc>
        <w:tc>
          <w:tcPr>
            <w:tcW w:w="1276" w:type="dxa"/>
          </w:tcPr>
          <w:p w:rsidR="00387DCD" w:rsidRDefault="00387DCD">
            <w:pPr>
              <w:tabs>
                <w:tab w:val="decimal" w:pos="781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Verkauf</w:t>
            </w:r>
          </w:p>
        </w:tc>
        <w:tc>
          <w:tcPr>
            <w:tcW w:w="1985" w:type="dxa"/>
          </w:tcPr>
          <w:p w:rsidR="00387DCD" w:rsidRDefault="00387DCD">
            <w:pPr>
              <w:tabs>
                <w:tab w:val="decimal" w:pos="101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Ø-Preis netto</w:t>
            </w:r>
          </w:p>
        </w:tc>
        <w:tc>
          <w:tcPr>
            <w:tcW w:w="2551" w:type="dxa"/>
          </w:tcPr>
          <w:p w:rsidR="00387DCD" w:rsidRDefault="00387DCD">
            <w:pPr>
              <w:tabs>
                <w:tab w:val="decimal" w:pos="148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Preise von - bis €</w:t>
            </w:r>
          </w:p>
        </w:tc>
      </w:tr>
      <w:tr w:rsidR="00387DCD">
        <w:trPr>
          <w:trHeight w:val="282"/>
        </w:trPr>
        <w:tc>
          <w:tcPr>
            <w:tcW w:w="3402" w:type="dxa"/>
          </w:tcPr>
          <w:p w:rsidR="00387DCD" w:rsidRDefault="00104B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Jungkühe IIa</w:t>
            </w:r>
            <w:r w:rsidR="00387DC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387DCD" w:rsidRDefault="00280B21" w:rsidP="0060365D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985" w:type="dxa"/>
          </w:tcPr>
          <w:p w:rsidR="00387DCD" w:rsidRDefault="00280B21" w:rsidP="002605E4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1.962,22</w:t>
            </w:r>
          </w:p>
        </w:tc>
        <w:tc>
          <w:tcPr>
            <w:tcW w:w="2551" w:type="dxa"/>
          </w:tcPr>
          <w:p w:rsidR="00387DCD" w:rsidRDefault="00280B21" w:rsidP="002605E4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1.600,00 – 2.440,00</w:t>
            </w:r>
          </w:p>
        </w:tc>
      </w:tr>
      <w:tr w:rsidR="00387DCD">
        <w:trPr>
          <w:trHeight w:val="427"/>
        </w:trPr>
        <w:tc>
          <w:tcPr>
            <w:tcW w:w="3402" w:type="dxa"/>
          </w:tcPr>
          <w:p w:rsidR="00387DCD" w:rsidRDefault="00D673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Jungkühe II</w:t>
            </w:r>
            <w:r w:rsidR="00104B60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1276" w:type="dxa"/>
          </w:tcPr>
          <w:p w:rsidR="00387DCD" w:rsidRDefault="00280B21" w:rsidP="00C04E8F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985" w:type="dxa"/>
          </w:tcPr>
          <w:p w:rsidR="00387DCD" w:rsidRDefault="00280B21" w:rsidP="00295E84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1.900,00</w:t>
            </w:r>
          </w:p>
        </w:tc>
        <w:tc>
          <w:tcPr>
            <w:tcW w:w="2551" w:type="dxa"/>
          </w:tcPr>
          <w:p w:rsidR="00387DCD" w:rsidRDefault="00280B21" w:rsidP="001A6D23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387DCD">
        <w:tc>
          <w:tcPr>
            <w:tcW w:w="3402" w:type="dxa"/>
          </w:tcPr>
          <w:p w:rsidR="00387DCD" w:rsidRDefault="00104B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387DCD" w:rsidRDefault="00104B60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387DCD" w:rsidRDefault="00104B60" w:rsidP="00A07AA2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551" w:type="dxa"/>
          </w:tcPr>
          <w:p w:rsidR="00387DCD" w:rsidRDefault="00104B60" w:rsidP="00A07AA2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387DCD">
        <w:tc>
          <w:tcPr>
            <w:tcW w:w="3402" w:type="dxa"/>
          </w:tcPr>
          <w:p w:rsidR="00387DCD" w:rsidRPr="00D673FE" w:rsidRDefault="00D673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Kalbinnen IIa</w:t>
            </w:r>
          </w:p>
        </w:tc>
        <w:tc>
          <w:tcPr>
            <w:tcW w:w="1276" w:type="dxa"/>
          </w:tcPr>
          <w:p w:rsidR="00387DCD" w:rsidRDefault="00280B21" w:rsidP="002605E4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52</w:t>
            </w:r>
          </w:p>
        </w:tc>
        <w:tc>
          <w:tcPr>
            <w:tcW w:w="1985" w:type="dxa"/>
          </w:tcPr>
          <w:p w:rsidR="00387DCD" w:rsidRDefault="00280B21" w:rsidP="002605E4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2.165,77</w:t>
            </w:r>
          </w:p>
        </w:tc>
        <w:tc>
          <w:tcPr>
            <w:tcW w:w="2551" w:type="dxa"/>
          </w:tcPr>
          <w:p w:rsidR="00387DCD" w:rsidRDefault="00280B21" w:rsidP="002605E4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1.420,00 – 2.480,00</w:t>
            </w:r>
          </w:p>
        </w:tc>
      </w:tr>
      <w:tr w:rsidR="00387DCD" w:rsidRPr="00F23918">
        <w:tc>
          <w:tcPr>
            <w:tcW w:w="3402" w:type="dxa"/>
          </w:tcPr>
          <w:p w:rsidR="00387DCD" w:rsidRPr="00F23918" w:rsidRDefault="00D67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918">
              <w:rPr>
                <w:rFonts w:ascii="Arial" w:hAnsi="Arial" w:cs="Arial"/>
                <w:b/>
                <w:sz w:val="22"/>
                <w:szCs w:val="22"/>
              </w:rPr>
              <w:t>Kalbinnen IIb</w:t>
            </w:r>
          </w:p>
        </w:tc>
        <w:tc>
          <w:tcPr>
            <w:tcW w:w="1276" w:type="dxa"/>
          </w:tcPr>
          <w:p w:rsidR="00387DCD" w:rsidRPr="00F23918" w:rsidRDefault="00320D3F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87DCD" w:rsidRPr="00F23918" w:rsidRDefault="00320D3F" w:rsidP="001A6D23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87DCD" w:rsidRPr="00F23918" w:rsidRDefault="00320D3F" w:rsidP="001A6D23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673FE">
        <w:tc>
          <w:tcPr>
            <w:tcW w:w="3402" w:type="dxa"/>
          </w:tcPr>
          <w:p w:rsidR="00D673FE" w:rsidRDefault="00D673FE">
            <w:pPr>
              <w:rPr>
                <w:b/>
              </w:rPr>
            </w:pPr>
          </w:p>
        </w:tc>
        <w:tc>
          <w:tcPr>
            <w:tcW w:w="1276" w:type="dxa"/>
          </w:tcPr>
          <w:p w:rsidR="00D673FE" w:rsidRDefault="00D673FE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</w:tcPr>
          <w:p w:rsidR="00D673FE" w:rsidRDefault="00D673FE">
            <w:pPr>
              <w:tabs>
                <w:tab w:val="decimal" w:pos="1064"/>
              </w:tabs>
              <w:rPr>
                <w:b/>
              </w:rPr>
            </w:pPr>
          </w:p>
        </w:tc>
        <w:tc>
          <w:tcPr>
            <w:tcW w:w="2551" w:type="dxa"/>
          </w:tcPr>
          <w:p w:rsidR="00D673FE" w:rsidRDefault="00D673FE">
            <w:pPr>
              <w:tabs>
                <w:tab w:val="decimal" w:pos="1064"/>
              </w:tabs>
              <w:rPr>
                <w:b/>
              </w:rPr>
            </w:pPr>
          </w:p>
        </w:tc>
      </w:tr>
      <w:tr w:rsidR="009E7A5B">
        <w:tc>
          <w:tcPr>
            <w:tcW w:w="3402" w:type="dxa"/>
          </w:tcPr>
          <w:p w:rsidR="009E7A5B" w:rsidRDefault="009E7A5B">
            <w:pPr>
              <w:rPr>
                <w:b/>
              </w:rPr>
            </w:pPr>
          </w:p>
        </w:tc>
        <w:tc>
          <w:tcPr>
            <w:tcW w:w="1276" w:type="dxa"/>
          </w:tcPr>
          <w:p w:rsidR="009E7A5B" w:rsidRDefault="009E7A5B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</w:tcPr>
          <w:p w:rsidR="009E7A5B" w:rsidRDefault="009E7A5B">
            <w:pPr>
              <w:tabs>
                <w:tab w:val="decimal" w:pos="1064"/>
              </w:tabs>
              <w:rPr>
                <w:b/>
              </w:rPr>
            </w:pPr>
          </w:p>
        </w:tc>
        <w:tc>
          <w:tcPr>
            <w:tcW w:w="2551" w:type="dxa"/>
          </w:tcPr>
          <w:p w:rsidR="009E7A5B" w:rsidRDefault="009E7A5B">
            <w:pPr>
              <w:tabs>
                <w:tab w:val="decimal" w:pos="1064"/>
              </w:tabs>
              <w:rPr>
                <w:b/>
              </w:rPr>
            </w:pPr>
          </w:p>
        </w:tc>
      </w:tr>
    </w:tbl>
    <w:p w:rsidR="00387DCD" w:rsidRDefault="00CC3CD6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bCs/>
          <w:sz w:val="21"/>
        </w:rPr>
      </w:pPr>
      <w:r>
        <w:rPr>
          <w:rFonts w:ascii="Arial" w:hAnsi="Arial" w:cs="Arial"/>
          <w:bCs/>
          <w:sz w:val="21"/>
        </w:rPr>
        <w:t>252</w:t>
      </w:r>
      <w:r w:rsidR="004641ED">
        <w:rPr>
          <w:rFonts w:ascii="Arial" w:hAnsi="Arial" w:cs="Arial"/>
          <w:bCs/>
          <w:sz w:val="21"/>
        </w:rPr>
        <w:t xml:space="preserve"> </w:t>
      </w:r>
      <w:r w:rsidR="00387DCD">
        <w:rPr>
          <w:rFonts w:ascii="Arial" w:hAnsi="Arial" w:cs="Arial"/>
          <w:b/>
          <w:sz w:val="21"/>
        </w:rPr>
        <w:t>Stierkälber</w:t>
      </w:r>
      <w:r w:rsidR="00E16342">
        <w:rPr>
          <w:rFonts w:ascii="Arial" w:hAnsi="Arial" w:cs="Arial"/>
          <w:b/>
          <w:sz w:val="21"/>
        </w:rPr>
        <w:t xml:space="preserve"> </w:t>
      </w:r>
      <w:r w:rsidR="00CD6E73">
        <w:rPr>
          <w:rFonts w:ascii="Arial" w:hAnsi="Arial" w:cs="Arial"/>
          <w:sz w:val="21"/>
        </w:rPr>
        <w:t>ver</w:t>
      </w:r>
      <w:r w:rsidR="0054543F">
        <w:rPr>
          <w:rFonts w:ascii="Arial" w:hAnsi="Arial" w:cs="Arial"/>
          <w:sz w:val="21"/>
        </w:rPr>
        <w:t>schlechterten</w:t>
      </w:r>
      <w:r w:rsidR="00A246F2">
        <w:rPr>
          <w:rFonts w:ascii="Arial" w:hAnsi="Arial" w:cs="Arial"/>
          <w:sz w:val="21"/>
        </w:rPr>
        <w:t xml:space="preserve"> </w:t>
      </w:r>
      <w:r w:rsidR="00E16342" w:rsidRPr="00E16342">
        <w:rPr>
          <w:rFonts w:ascii="Arial" w:hAnsi="Arial" w:cs="Arial"/>
          <w:sz w:val="21"/>
        </w:rPr>
        <w:t xml:space="preserve">sich um </w:t>
      </w:r>
      <w:r w:rsidR="0054543F">
        <w:rPr>
          <w:rFonts w:ascii="Arial" w:hAnsi="Arial" w:cs="Arial"/>
          <w:sz w:val="21"/>
        </w:rPr>
        <w:t>2</w:t>
      </w:r>
      <w:r>
        <w:rPr>
          <w:rFonts w:ascii="Arial" w:hAnsi="Arial" w:cs="Arial"/>
          <w:sz w:val="21"/>
        </w:rPr>
        <w:t>6</w:t>
      </w:r>
      <w:r w:rsidR="002D25C6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bCs/>
          <w:sz w:val="21"/>
        </w:rPr>
        <w:t xml:space="preserve">Cent auf € </w:t>
      </w:r>
      <w:r w:rsidR="0054543F">
        <w:rPr>
          <w:rFonts w:ascii="Arial" w:hAnsi="Arial" w:cs="Arial"/>
          <w:bCs/>
          <w:sz w:val="21"/>
        </w:rPr>
        <w:t>5,</w:t>
      </w:r>
      <w:r>
        <w:rPr>
          <w:rFonts w:ascii="Arial" w:hAnsi="Arial" w:cs="Arial"/>
          <w:bCs/>
          <w:sz w:val="21"/>
        </w:rPr>
        <w:t>03</w:t>
      </w:r>
      <w:r w:rsidR="00BF4B9E">
        <w:rPr>
          <w:rFonts w:ascii="Arial" w:hAnsi="Arial" w:cs="Arial"/>
          <w:bCs/>
          <w:sz w:val="21"/>
        </w:rPr>
        <w:t xml:space="preserve"> netto</w:t>
      </w:r>
      <w:r w:rsidR="00021DF2">
        <w:rPr>
          <w:rFonts w:ascii="Arial" w:hAnsi="Arial" w:cs="Arial"/>
          <w:bCs/>
          <w:sz w:val="21"/>
        </w:rPr>
        <w:t xml:space="preserve"> bei einem</w:t>
      </w:r>
      <w:r w:rsidR="00DE6917">
        <w:rPr>
          <w:rFonts w:ascii="Arial" w:hAnsi="Arial" w:cs="Arial"/>
          <w:bCs/>
          <w:sz w:val="21"/>
        </w:rPr>
        <w:t xml:space="preserve"> </w:t>
      </w:r>
      <w:r w:rsidR="00021DF2">
        <w:rPr>
          <w:rFonts w:ascii="Arial" w:hAnsi="Arial" w:cs="Arial"/>
          <w:bCs/>
          <w:sz w:val="21"/>
        </w:rPr>
        <w:t xml:space="preserve">Durchschnittsgewicht von </w:t>
      </w:r>
      <w:r w:rsidR="002605E4">
        <w:rPr>
          <w:rFonts w:ascii="Arial" w:hAnsi="Arial" w:cs="Arial"/>
          <w:bCs/>
          <w:sz w:val="21"/>
        </w:rPr>
        <w:t>9</w:t>
      </w:r>
      <w:r>
        <w:rPr>
          <w:rFonts w:ascii="Arial" w:hAnsi="Arial" w:cs="Arial"/>
          <w:bCs/>
          <w:sz w:val="21"/>
        </w:rPr>
        <w:t>9</w:t>
      </w:r>
      <w:r w:rsidR="00021DF2">
        <w:rPr>
          <w:rFonts w:ascii="Arial" w:hAnsi="Arial" w:cs="Arial"/>
          <w:bCs/>
          <w:sz w:val="21"/>
        </w:rPr>
        <w:t xml:space="preserve"> kg</w:t>
      </w:r>
      <w:r w:rsidR="001A6707">
        <w:rPr>
          <w:rFonts w:ascii="Arial" w:hAnsi="Arial" w:cs="Arial"/>
          <w:bCs/>
          <w:sz w:val="21"/>
        </w:rPr>
        <w:t>, wobei</w:t>
      </w:r>
      <w:r w:rsidR="00387DCD">
        <w:rPr>
          <w:rFonts w:ascii="Arial" w:hAnsi="Arial" w:cs="Arial"/>
          <w:bCs/>
          <w:sz w:val="21"/>
        </w:rPr>
        <w:t xml:space="preserve"> Fleischrassekälber je kg im Schnitt € </w:t>
      </w:r>
      <w:r w:rsidR="003A6BAE">
        <w:rPr>
          <w:rFonts w:ascii="Arial" w:hAnsi="Arial" w:cs="Arial"/>
          <w:bCs/>
          <w:sz w:val="21"/>
        </w:rPr>
        <w:t>5,</w:t>
      </w:r>
      <w:r>
        <w:rPr>
          <w:rFonts w:ascii="Arial" w:hAnsi="Arial" w:cs="Arial"/>
          <w:bCs/>
          <w:sz w:val="21"/>
        </w:rPr>
        <w:t>38</w:t>
      </w:r>
      <w:r w:rsidR="003F36FF">
        <w:rPr>
          <w:rFonts w:ascii="Arial" w:hAnsi="Arial" w:cs="Arial"/>
          <w:bCs/>
          <w:sz w:val="21"/>
        </w:rPr>
        <w:t xml:space="preserve"> </w:t>
      </w:r>
      <w:r w:rsidR="00387DCD">
        <w:rPr>
          <w:rFonts w:ascii="Arial" w:hAnsi="Arial" w:cs="Arial"/>
          <w:bCs/>
          <w:sz w:val="21"/>
        </w:rPr>
        <w:t xml:space="preserve">(von </w:t>
      </w:r>
      <w:r w:rsidR="0054543F">
        <w:rPr>
          <w:rFonts w:ascii="Arial" w:hAnsi="Arial" w:cs="Arial"/>
          <w:bCs/>
          <w:sz w:val="21"/>
        </w:rPr>
        <w:t>2,80</w:t>
      </w:r>
      <w:r w:rsidR="00A02552">
        <w:rPr>
          <w:rFonts w:ascii="Arial" w:hAnsi="Arial" w:cs="Arial"/>
          <w:bCs/>
          <w:sz w:val="21"/>
        </w:rPr>
        <w:t xml:space="preserve"> bis </w:t>
      </w:r>
      <w:r w:rsidR="003A6BAE">
        <w:rPr>
          <w:rFonts w:ascii="Arial" w:hAnsi="Arial" w:cs="Arial"/>
          <w:bCs/>
          <w:sz w:val="21"/>
        </w:rPr>
        <w:t>6,</w:t>
      </w:r>
      <w:r>
        <w:rPr>
          <w:rFonts w:ascii="Arial" w:hAnsi="Arial" w:cs="Arial"/>
          <w:bCs/>
          <w:sz w:val="21"/>
        </w:rPr>
        <w:t>3</w:t>
      </w:r>
      <w:r w:rsidR="000716A7">
        <w:rPr>
          <w:rFonts w:ascii="Arial" w:hAnsi="Arial" w:cs="Arial"/>
          <w:bCs/>
          <w:sz w:val="21"/>
        </w:rPr>
        <w:t>0</w:t>
      </w:r>
      <w:r w:rsidR="00387DCD">
        <w:rPr>
          <w:rFonts w:ascii="Arial" w:hAnsi="Arial" w:cs="Arial"/>
          <w:bCs/>
          <w:sz w:val="21"/>
        </w:rPr>
        <w:t xml:space="preserve">) und Fleckviehkälber bis </w:t>
      </w:r>
      <w:r w:rsidR="00913AB8">
        <w:rPr>
          <w:rFonts w:ascii="Arial" w:hAnsi="Arial" w:cs="Arial"/>
          <w:bCs/>
          <w:sz w:val="21"/>
        </w:rPr>
        <w:t>9</w:t>
      </w:r>
      <w:r w:rsidR="00387DCD">
        <w:rPr>
          <w:rFonts w:ascii="Arial" w:hAnsi="Arial" w:cs="Arial"/>
          <w:bCs/>
          <w:sz w:val="21"/>
        </w:rPr>
        <w:t xml:space="preserve">0 kg € </w:t>
      </w:r>
      <w:r w:rsidR="0054543F">
        <w:rPr>
          <w:rFonts w:ascii="Arial" w:hAnsi="Arial" w:cs="Arial"/>
          <w:bCs/>
          <w:sz w:val="21"/>
        </w:rPr>
        <w:t>5,</w:t>
      </w:r>
      <w:r>
        <w:rPr>
          <w:rFonts w:ascii="Arial" w:hAnsi="Arial" w:cs="Arial"/>
          <w:bCs/>
          <w:sz w:val="21"/>
        </w:rPr>
        <w:t>55</w:t>
      </w:r>
      <w:r w:rsidR="00387DCD">
        <w:rPr>
          <w:rFonts w:ascii="Arial" w:hAnsi="Arial" w:cs="Arial"/>
          <w:bCs/>
          <w:sz w:val="21"/>
        </w:rPr>
        <w:t xml:space="preserve"> bis 100 kg € </w:t>
      </w:r>
      <w:r w:rsidR="0054543F">
        <w:rPr>
          <w:rFonts w:ascii="Arial" w:hAnsi="Arial" w:cs="Arial"/>
          <w:bCs/>
          <w:sz w:val="21"/>
        </w:rPr>
        <w:t>5,</w:t>
      </w:r>
      <w:r>
        <w:rPr>
          <w:rFonts w:ascii="Arial" w:hAnsi="Arial" w:cs="Arial"/>
          <w:bCs/>
          <w:sz w:val="21"/>
        </w:rPr>
        <w:t>36</w:t>
      </w:r>
      <w:r w:rsidR="003458E6">
        <w:rPr>
          <w:rFonts w:ascii="Arial" w:hAnsi="Arial" w:cs="Arial"/>
          <w:bCs/>
          <w:sz w:val="21"/>
        </w:rPr>
        <w:t>,</w:t>
      </w:r>
      <w:r w:rsidR="00387DCD">
        <w:rPr>
          <w:rFonts w:ascii="Arial" w:hAnsi="Arial" w:cs="Arial"/>
          <w:bCs/>
          <w:sz w:val="21"/>
        </w:rPr>
        <w:t xml:space="preserve"> 1</w:t>
      </w:r>
      <w:r w:rsidR="00A02FB1">
        <w:rPr>
          <w:rFonts w:ascii="Arial" w:hAnsi="Arial" w:cs="Arial"/>
          <w:bCs/>
          <w:sz w:val="21"/>
        </w:rPr>
        <w:t>1</w:t>
      </w:r>
      <w:r w:rsidR="00387DCD">
        <w:rPr>
          <w:rFonts w:ascii="Arial" w:hAnsi="Arial" w:cs="Arial"/>
          <w:bCs/>
          <w:sz w:val="21"/>
        </w:rPr>
        <w:t xml:space="preserve">0 kg € </w:t>
      </w:r>
      <w:r>
        <w:rPr>
          <w:rFonts w:ascii="Arial" w:hAnsi="Arial" w:cs="Arial"/>
          <w:bCs/>
          <w:sz w:val="21"/>
        </w:rPr>
        <w:t>4,95</w:t>
      </w:r>
      <w:r w:rsidR="0070026B">
        <w:rPr>
          <w:rFonts w:ascii="Arial" w:hAnsi="Arial" w:cs="Arial"/>
          <w:bCs/>
          <w:sz w:val="21"/>
        </w:rPr>
        <w:t xml:space="preserve"> und bis </w:t>
      </w:r>
      <w:r w:rsidR="000B2A92">
        <w:rPr>
          <w:rFonts w:ascii="Arial" w:hAnsi="Arial" w:cs="Arial"/>
          <w:bCs/>
          <w:sz w:val="21"/>
        </w:rPr>
        <w:t>1</w:t>
      </w:r>
      <w:r w:rsidR="0070026B">
        <w:rPr>
          <w:rFonts w:ascii="Arial" w:hAnsi="Arial" w:cs="Arial"/>
          <w:bCs/>
          <w:sz w:val="21"/>
        </w:rPr>
        <w:t xml:space="preserve">20 kg € </w:t>
      </w:r>
      <w:r w:rsidR="00CD6E73">
        <w:rPr>
          <w:rFonts w:ascii="Arial" w:hAnsi="Arial" w:cs="Arial"/>
          <w:bCs/>
          <w:sz w:val="21"/>
        </w:rPr>
        <w:t>4,</w:t>
      </w:r>
      <w:r>
        <w:rPr>
          <w:rFonts w:ascii="Arial" w:hAnsi="Arial" w:cs="Arial"/>
          <w:bCs/>
          <w:sz w:val="21"/>
        </w:rPr>
        <w:t>68</w:t>
      </w:r>
      <w:r w:rsidR="00387DCD">
        <w:rPr>
          <w:rFonts w:ascii="Arial" w:hAnsi="Arial" w:cs="Arial"/>
          <w:bCs/>
          <w:sz w:val="21"/>
        </w:rPr>
        <w:t xml:space="preserve"> kosteten. </w:t>
      </w:r>
      <w:r w:rsidR="00F71CA0">
        <w:rPr>
          <w:rFonts w:ascii="Arial" w:hAnsi="Arial" w:cs="Arial"/>
          <w:bCs/>
          <w:sz w:val="21"/>
        </w:rPr>
        <w:t xml:space="preserve">Rund </w:t>
      </w:r>
      <w:r>
        <w:rPr>
          <w:rFonts w:ascii="Arial" w:hAnsi="Arial" w:cs="Arial"/>
          <w:bCs/>
          <w:sz w:val="21"/>
        </w:rPr>
        <w:t>35</w:t>
      </w:r>
      <w:r w:rsidR="00EC05DD">
        <w:rPr>
          <w:rFonts w:ascii="Arial" w:hAnsi="Arial" w:cs="Arial"/>
          <w:bCs/>
          <w:sz w:val="21"/>
        </w:rPr>
        <w:t xml:space="preserve"> % </w:t>
      </w:r>
      <w:r w:rsidR="001A6707">
        <w:rPr>
          <w:rFonts w:ascii="Arial" w:hAnsi="Arial" w:cs="Arial"/>
          <w:bCs/>
          <w:sz w:val="21"/>
        </w:rPr>
        <w:t xml:space="preserve">der verkauften Stierkälber </w:t>
      </w:r>
      <w:r w:rsidR="00874777">
        <w:rPr>
          <w:rFonts w:ascii="Arial" w:hAnsi="Arial" w:cs="Arial"/>
          <w:bCs/>
          <w:sz w:val="21"/>
        </w:rPr>
        <w:t xml:space="preserve">wurden von </w:t>
      </w:r>
      <w:r w:rsidR="007C69B8">
        <w:rPr>
          <w:rFonts w:ascii="Arial" w:hAnsi="Arial" w:cs="Arial"/>
          <w:bCs/>
          <w:sz w:val="21"/>
        </w:rPr>
        <w:t>de</w:t>
      </w:r>
      <w:r w:rsidR="000E7D8A">
        <w:rPr>
          <w:rFonts w:ascii="Arial" w:hAnsi="Arial" w:cs="Arial"/>
          <w:bCs/>
          <w:sz w:val="21"/>
        </w:rPr>
        <w:t>n</w:t>
      </w:r>
      <w:r w:rsidR="007C69B8">
        <w:rPr>
          <w:rFonts w:ascii="Arial" w:hAnsi="Arial" w:cs="Arial"/>
          <w:bCs/>
          <w:sz w:val="21"/>
        </w:rPr>
        <w:t xml:space="preserve"> Firmen </w:t>
      </w:r>
      <w:r w:rsidR="004363A5">
        <w:rPr>
          <w:rFonts w:ascii="Arial" w:hAnsi="Arial" w:cs="Arial"/>
          <w:bCs/>
          <w:sz w:val="21"/>
        </w:rPr>
        <w:t xml:space="preserve">Österreichische Rinderbörse und </w:t>
      </w:r>
      <w:r w:rsidR="00FB7BBE">
        <w:rPr>
          <w:rFonts w:ascii="Arial" w:hAnsi="Arial" w:cs="Arial"/>
          <w:bCs/>
          <w:sz w:val="21"/>
        </w:rPr>
        <w:t xml:space="preserve">Wiestrading GmbH </w:t>
      </w:r>
      <w:r w:rsidR="00874777">
        <w:rPr>
          <w:rFonts w:ascii="Arial" w:hAnsi="Arial" w:cs="Arial"/>
          <w:bCs/>
          <w:sz w:val="21"/>
        </w:rPr>
        <w:t>erworben</w:t>
      </w:r>
      <w:r w:rsidR="00387DCD">
        <w:rPr>
          <w:rFonts w:ascii="Arial" w:hAnsi="Arial" w:cs="Arial"/>
          <w:bCs/>
          <w:sz w:val="21"/>
        </w:rPr>
        <w:t>.</w:t>
      </w:r>
      <w:r w:rsidR="002519F2">
        <w:rPr>
          <w:rFonts w:ascii="Arial" w:hAnsi="Arial" w:cs="Arial"/>
          <w:bCs/>
          <w:sz w:val="21"/>
        </w:rPr>
        <w:t xml:space="preserve"> </w:t>
      </w:r>
      <w:r w:rsidR="009E7A5B">
        <w:rPr>
          <w:rFonts w:ascii="Arial" w:hAnsi="Arial" w:cs="Arial"/>
          <w:bCs/>
          <w:sz w:val="21"/>
        </w:rPr>
        <w:t>Höhere Stückzahlen erwarb auch die Firm</w:t>
      </w:r>
      <w:r w:rsidR="00F71CA0">
        <w:rPr>
          <w:rFonts w:ascii="Arial" w:hAnsi="Arial" w:cs="Arial"/>
          <w:bCs/>
          <w:sz w:val="21"/>
        </w:rPr>
        <w:t>a</w:t>
      </w:r>
      <w:r w:rsidR="009E7A5B">
        <w:rPr>
          <w:rFonts w:ascii="Arial" w:hAnsi="Arial" w:cs="Arial"/>
          <w:bCs/>
          <w:sz w:val="21"/>
        </w:rPr>
        <w:t xml:space="preserve"> Kaufmann aus Niederösterreich </w:t>
      </w:r>
      <w:r w:rsidR="00F71CA0">
        <w:rPr>
          <w:rFonts w:ascii="Arial" w:hAnsi="Arial" w:cs="Arial"/>
          <w:bCs/>
          <w:sz w:val="21"/>
        </w:rPr>
        <w:t>für die Fresserproduktion</w:t>
      </w:r>
      <w:r w:rsidR="009E7A5B">
        <w:rPr>
          <w:rFonts w:ascii="Arial" w:hAnsi="Arial" w:cs="Arial"/>
          <w:bCs/>
          <w:sz w:val="21"/>
        </w:rPr>
        <w:t xml:space="preserve">. </w:t>
      </w:r>
    </w:p>
    <w:p w:rsidR="00925555" w:rsidRDefault="002519F2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Die </w:t>
      </w:r>
      <w:r w:rsidR="00CC3CD6">
        <w:rPr>
          <w:rFonts w:ascii="Arial" w:hAnsi="Arial" w:cs="Arial"/>
          <w:sz w:val="21"/>
        </w:rPr>
        <w:t>48</w:t>
      </w:r>
      <w:r w:rsidR="00387DCD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b/>
          <w:bCs/>
          <w:sz w:val="21"/>
        </w:rPr>
        <w:t>weibliche</w:t>
      </w:r>
      <w:r w:rsidR="00B15885">
        <w:rPr>
          <w:rFonts w:ascii="Arial" w:hAnsi="Arial" w:cs="Arial"/>
          <w:b/>
          <w:bCs/>
          <w:sz w:val="21"/>
        </w:rPr>
        <w:t>n</w:t>
      </w:r>
      <w:r w:rsidR="00387DCD">
        <w:rPr>
          <w:rFonts w:ascii="Arial" w:hAnsi="Arial" w:cs="Arial"/>
          <w:b/>
          <w:bCs/>
          <w:sz w:val="21"/>
        </w:rPr>
        <w:t xml:space="preserve"> Nutzkälber</w:t>
      </w:r>
      <w:r w:rsidR="00E44084">
        <w:rPr>
          <w:rFonts w:ascii="Arial" w:hAnsi="Arial" w:cs="Arial"/>
          <w:sz w:val="21"/>
        </w:rPr>
        <w:t xml:space="preserve"> erlösten im Schnitt € </w:t>
      </w:r>
      <w:r w:rsidR="003A6BAE">
        <w:rPr>
          <w:rFonts w:ascii="Arial" w:hAnsi="Arial" w:cs="Arial"/>
          <w:sz w:val="21"/>
        </w:rPr>
        <w:t>3,</w:t>
      </w:r>
      <w:r w:rsidR="00CC3CD6">
        <w:rPr>
          <w:rFonts w:ascii="Arial" w:hAnsi="Arial" w:cs="Arial"/>
          <w:sz w:val="21"/>
        </w:rPr>
        <w:t>70</w:t>
      </w:r>
      <w:r w:rsidR="00A02FB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netto</w:t>
      </w:r>
      <w:r w:rsidR="00710C93">
        <w:rPr>
          <w:rFonts w:ascii="Arial" w:hAnsi="Arial" w:cs="Arial"/>
          <w:sz w:val="21"/>
        </w:rPr>
        <w:t xml:space="preserve"> (</w:t>
      </w:r>
      <w:r w:rsidR="009E7A5B">
        <w:rPr>
          <w:rFonts w:ascii="Arial" w:hAnsi="Arial" w:cs="Arial"/>
          <w:sz w:val="21"/>
        </w:rPr>
        <w:t>-</w:t>
      </w:r>
      <w:r w:rsidR="00A02FB1">
        <w:rPr>
          <w:rFonts w:ascii="Arial" w:hAnsi="Arial" w:cs="Arial"/>
          <w:sz w:val="21"/>
        </w:rPr>
        <w:t xml:space="preserve">€ </w:t>
      </w:r>
      <w:r w:rsidR="0070026B">
        <w:rPr>
          <w:rFonts w:ascii="Arial" w:hAnsi="Arial" w:cs="Arial"/>
          <w:sz w:val="21"/>
        </w:rPr>
        <w:t>0,</w:t>
      </w:r>
      <w:r w:rsidR="00CC3CD6">
        <w:rPr>
          <w:rFonts w:ascii="Arial" w:hAnsi="Arial" w:cs="Arial"/>
          <w:sz w:val="21"/>
        </w:rPr>
        <w:t>01</w:t>
      </w:r>
      <w:r w:rsidR="00021DF2">
        <w:rPr>
          <w:rFonts w:ascii="Arial" w:hAnsi="Arial" w:cs="Arial"/>
          <w:sz w:val="21"/>
        </w:rPr>
        <w:t xml:space="preserve">) </w:t>
      </w:r>
      <w:r w:rsidR="0044314C">
        <w:rPr>
          <w:rFonts w:ascii="Arial" w:hAnsi="Arial" w:cs="Arial"/>
          <w:sz w:val="21"/>
        </w:rPr>
        <w:t xml:space="preserve">bei einem Durchschnittsgewicht </w:t>
      </w:r>
      <w:r w:rsidR="00A02FB1">
        <w:rPr>
          <w:rFonts w:ascii="Arial" w:hAnsi="Arial" w:cs="Arial"/>
          <w:sz w:val="21"/>
        </w:rPr>
        <w:t>v</w:t>
      </w:r>
      <w:r w:rsidR="0044314C">
        <w:rPr>
          <w:rFonts w:ascii="Arial" w:hAnsi="Arial" w:cs="Arial"/>
          <w:sz w:val="21"/>
        </w:rPr>
        <w:t xml:space="preserve">on </w:t>
      </w:r>
      <w:r w:rsidR="003A6BAE">
        <w:rPr>
          <w:rFonts w:ascii="Arial" w:hAnsi="Arial" w:cs="Arial"/>
          <w:sz w:val="21"/>
        </w:rPr>
        <w:t>9</w:t>
      </w:r>
      <w:r w:rsidR="00CC3CD6">
        <w:rPr>
          <w:rFonts w:ascii="Arial" w:hAnsi="Arial" w:cs="Arial"/>
          <w:sz w:val="21"/>
        </w:rPr>
        <w:t>7</w:t>
      </w:r>
      <w:r w:rsidR="00453C39">
        <w:rPr>
          <w:rFonts w:ascii="Arial" w:hAnsi="Arial" w:cs="Arial"/>
          <w:sz w:val="21"/>
        </w:rPr>
        <w:t xml:space="preserve"> </w:t>
      </w:r>
      <w:r w:rsidR="0044314C">
        <w:rPr>
          <w:rFonts w:ascii="Arial" w:hAnsi="Arial" w:cs="Arial"/>
          <w:sz w:val="21"/>
        </w:rPr>
        <w:t>kg</w:t>
      </w:r>
      <w:r w:rsidR="00287A52">
        <w:rPr>
          <w:rFonts w:ascii="Arial" w:hAnsi="Arial" w:cs="Arial"/>
          <w:sz w:val="21"/>
        </w:rPr>
        <w:t>.</w:t>
      </w:r>
    </w:p>
    <w:p w:rsidR="00B07A6D" w:rsidRDefault="002E7248" w:rsidP="0092555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Der Durchschnittspreis</w:t>
      </w:r>
      <w:r w:rsidR="00743174">
        <w:rPr>
          <w:rFonts w:ascii="Arial" w:hAnsi="Arial" w:cs="Arial"/>
          <w:sz w:val="21"/>
        </w:rPr>
        <w:t xml:space="preserve"> der </w:t>
      </w:r>
      <w:r w:rsidR="00CC3CD6">
        <w:rPr>
          <w:rFonts w:ascii="Arial" w:hAnsi="Arial" w:cs="Arial"/>
          <w:sz w:val="21"/>
        </w:rPr>
        <w:t>53</w:t>
      </w:r>
      <w:r w:rsidR="00EC05DD">
        <w:rPr>
          <w:rFonts w:ascii="Arial" w:hAnsi="Arial" w:cs="Arial"/>
          <w:sz w:val="21"/>
        </w:rPr>
        <w:t xml:space="preserve"> </w:t>
      </w:r>
      <w:r w:rsidR="00B23E7A">
        <w:rPr>
          <w:rFonts w:ascii="Arial" w:hAnsi="Arial" w:cs="Arial"/>
          <w:sz w:val="21"/>
        </w:rPr>
        <w:t>verkauften</w:t>
      </w:r>
      <w:r w:rsidR="00743174">
        <w:rPr>
          <w:rFonts w:ascii="Arial" w:hAnsi="Arial" w:cs="Arial"/>
          <w:sz w:val="21"/>
        </w:rPr>
        <w:t xml:space="preserve"> </w:t>
      </w:r>
      <w:r w:rsidR="00743174">
        <w:rPr>
          <w:rFonts w:ascii="Arial" w:hAnsi="Arial" w:cs="Arial"/>
          <w:b/>
          <w:bCs/>
          <w:sz w:val="21"/>
        </w:rPr>
        <w:t>Zuchtkälber</w:t>
      </w:r>
      <w:r w:rsidR="00743174">
        <w:rPr>
          <w:rFonts w:ascii="Arial" w:hAnsi="Arial" w:cs="Arial"/>
          <w:sz w:val="21"/>
        </w:rPr>
        <w:t xml:space="preserve"> </w:t>
      </w:r>
      <w:r w:rsidR="005323BC">
        <w:rPr>
          <w:rFonts w:ascii="Arial" w:hAnsi="Arial" w:cs="Arial"/>
          <w:sz w:val="21"/>
        </w:rPr>
        <w:t>belief</w:t>
      </w:r>
      <w:r w:rsidR="00EC05DD">
        <w:rPr>
          <w:rFonts w:ascii="Arial" w:hAnsi="Arial" w:cs="Arial"/>
          <w:sz w:val="21"/>
        </w:rPr>
        <w:t xml:space="preserve"> sich</w:t>
      </w:r>
      <w:r w:rsidR="0007501F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auf € </w:t>
      </w:r>
      <w:r w:rsidR="00CC3CD6">
        <w:rPr>
          <w:rFonts w:ascii="Arial" w:hAnsi="Arial" w:cs="Arial"/>
          <w:sz w:val="21"/>
        </w:rPr>
        <w:t>649,22</w:t>
      </w:r>
      <w:r>
        <w:rPr>
          <w:rFonts w:ascii="Arial" w:hAnsi="Arial" w:cs="Arial"/>
          <w:sz w:val="21"/>
        </w:rPr>
        <w:t xml:space="preserve"> </w:t>
      </w:r>
      <w:r w:rsidR="008D5530">
        <w:rPr>
          <w:rFonts w:ascii="Arial" w:hAnsi="Arial" w:cs="Arial"/>
          <w:sz w:val="21"/>
        </w:rPr>
        <w:t xml:space="preserve"> bei einem Durchschnittsgewicht von </w:t>
      </w:r>
      <w:r w:rsidR="003A6BAE">
        <w:rPr>
          <w:rFonts w:ascii="Arial" w:hAnsi="Arial" w:cs="Arial"/>
          <w:sz w:val="21"/>
        </w:rPr>
        <w:t>10</w:t>
      </w:r>
      <w:r w:rsidR="00CC3CD6">
        <w:rPr>
          <w:rFonts w:ascii="Arial" w:hAnsi="Arial" w:cs="Arial"/>
          <w:sz w:val="21"/>
        </w:rPr>
        <w:t xml:space="preserve">8 </w:t>
      </w:r>
      <w:r w:rsidR="008D5530">
        <w:rPr>
          <w:rFonts w:ascii="Arial" w:hAnsi="Arial" w:cs="Arial"/>
          <w:sz w:val="21"/>
        </w:rPr>
        <w:t xml:space="preserve">kg. </w:t>
      </w:r>
      <w:r w:rsidR="006473C2">
        <w:rPr>
          <w:rFonts w:ascii="Arial" w:hAnsi="Arial" w:cs="Arial"/>
          <w:sz w:val="21"/>
        </w:rPr>
        <w:t>Gut entwickelte Kälber mit Abstammungen über 6.</w:t>
      </w:r>
      <w:r w:rsidR="00657171">
        <w:rPr>
          <w:rFonts w:ascii="Arial" w:hAnsi="Arial" w:cs="Arial"/>
          <w:sz w:val="21"/>
        </w:rPr>
        <w:t>5</w:t>
      </w:r>
      <w:r w:rsidR="006473C2">
        <w:rPr>
          <w:rFonts w:ascii="Arial" w:hAnsi="Arial" w:cs="Arial"/>
          <w:sz w:val="21"/>
        </w:rPr>
        <w:t>00 l Mutterleistung konnten zu</w:t>
      </w:r>
      <w:r w:rsidR="009218E9">
        <w:rPr>
          <w:rFonts w:ascii="Arial" w:hAnsi="Arial" w:cs="Arial"/>
          <w:sz w:val="21"/>
        </w:rPr>
        <w:t xml:space="preserve"> sehr</w:t>
      </w:r>
      <w:r w:rsidR="00657171">
        <w:rPr>
          <w:rFonts w:ascii="Arial" w:hAnsi="Arial" w:cs="Arial"/>
          <w:sz w:val="21"/>
        </w:rPr>
        <w:t xml:space="preserve"> </w:t>
      </w:r>
      <w:r w:rsidR="008F3EE4">
        <w:rPr>
          <w:rFonts w:ascii="Arial" w:hAnsi="Arial" w:cs="Arial"/>
          <w:sz w:val="21"/>
        </w:rPr>
        <w:t>zufriedenstellenden</w:t>
      </w:r>
      <w:r w:rsidR="006473C2">
        <w:rPr>
          <w:rFonts w:ascii="Arial" w:hAnsi="Arial" w:cs="Arial"/>
          <w:sz w:val="21"/>
        </w:rPr>
        <w:t xml:space="preserve"> Preisen vermarktet werden. </w:t>
      </w:r>
      <w:r w:rsidR="009125FD">
        <w:rPr>
          <w:rFonts w:ascii="Arial" w:hAnsi="Arial" w:cs="Arial"/>
          <w:sz w:val="21"/>
        </w:rPr>
        <w:t>Rund</w:t>
      </w:r>
      <w:r w:rsidR="00113F4F">
        <w:rPr>
          <w:rFonts w:ascii="Arial" w:hAnsi="Arial" w:cs="Arial"/>
          <w:sz w:val="21"/>
        </w:rPr>
        <w:t xml:space="preserve"> € </w:t>
      </w:r>
      <w:r w:rsidR="0054543F">
        <w:rPr>
          <w:rFonts w:ascii="Arial" w:hAnsi="Arial" w:cs="Arial"/>
          <w:sz w:val="21"/>
        </w:rPr>
        <w:t>8</w:t>
      </w:r>
      <w:r w:rsidR="00CC3CD6">
        <w:rPr>
          <w:rFonts w:ascii="Arial" w:hAnsi="Arial" w:cs="Arial"/>
          <w:sz w:val="21"/>
        </w:rPr>
        <w:t>6</w:t>
      </w:r>
      <w:r w:rsidR="0054543F">
        <w:rPr>
          <w:rFonts w:ascii="Arial" w:hAnsi="Arial" w:cs="Arial"/>
          <w:sz w:val="21"/>
        </w:rPr>
        <w:t>0</w:t>
      </w:r>
      <w:r w:rsidR="00CC3CD6">
        <w:rPr>
          <w:rFonts w:ascii="Arial" w:hAnsi="Arial" w:cs="Arial"/>
          <w:sz w:val="21"/>
        </w:rPr>
        <w:t>,</w:t>
      </w:r>
      <w:r w:rsidR="005A7382">
        <w:rPr>
          <w:rFonts w:ascii="Arial" w:hAnsi="Arial" w:cs="Arial"/>
          <w:sz w:val="21"/>
        </w:rPr>
        <w:t xml:space="preserve">- </w:t>
      </w:r>
      <w:r w:rsidR="00341BF5">
        <w:rPr>
          <w:rFonts w:ascii="Arial" w:hAnsi="Arial" w:cs="Arial"/>
          <w:sz w:val="21"/>
        </w:rPr>
        <w:t>brutto</w:t>
      </w:r>
      <w:r w:rsidR="00F93EC8">
        <w:rPr>
          <w:rFonts w:ascii="Arial" w:hAnsi="Arial" w:cs="Arial"/>
          <w:sz w:val="21"/>
        </w:rPr>
        <w:t xml:space="preserve"> </w:t>
      </w:r>
      <w:r w:rsidR="00107C25">
        <w:rPr>
          <w:rFonts w:ascii="Arial" w:hAnsi="Arial" w:cs="Arial"/>
          <w:sz w:val="21"/>
        </w:rPr>
        <w:t>erlöste der Zuchtbet</w:t>
      </w:r>
      <w:r w:rsidR="00B23E7A">
        <w:rPr>
          <w:rFonts w:ascii="Arial" w:hAnsi="Arial" w:cs="Arial"/>
          <w:sz w:val="21"/>
        </w:rPr>
        <w:t>r</w:t>
      </w:r>
      <w:r w:rsidR="00107C25">
        <w:rPr>
          <w:rFonts w:ascii="Arial" w:hAnsi="Arial" w:cs="Arial"/>
          <w:sz w:val="21"/>
        </w:rPr>
        <w:t xml:space="preserve">ieb </w:t>
      </w:r>
      <w:r w:rsidR="00CC3CD6">
        <w:rPr>
          <w:rFonts w:ascii="Arial" w:hAnsi="Arial" w:cs="Arial"/>
          <w:sz w:val="21"/>
        </w:rPr>
        <w:t>Mayr aus St. Georgen</w:t>
      </w:r>
      <w:r w:rsidR="00EC38D8">
        <w:rPr>
          <w:rFonts w:ascii="Arial" w:hAnsi="Arial" w:cs="Arial"/>
          <w:sz w:val="21"/>
        </w:rPr>
        <w:t xml:space="preserve"> </w:t>
      </w:r>
      <w:r w:rsidR="005A7382">
        <w:rPr>
          <w:rFonts w:ascii="Arial" w:hAnsi="Arial" w:cs="Arial"/>
          <w:sz w:val="21"/>
        </w:rPr>
        <w:t xml:space="preserve">für </w:t>
      </w:r>
      <w:r w:rsidR="00DD5B03">
        <w:rPr>
          <w:rFonts w:ascii="Arial" w:hAnsi="Arial" w:cs="Arial"/>
          <w:sz w:val="21"/>
        </w:rPr>
        <w:t>ein formschönes</w:t>
      </w:r>
      <w:r w:rsidR="00246537">
        <w:rPr>
          <w:rFonts w:ascii="Arial" w:hAnsi="Arial" w:cs="Arial"/>
          <w:sz w:val="21"/>
        </w:rPr>
        <w:t xml:space="preserve"> </w:t>
      </w:r>
      <w:r w:rsidR="00CC3CD6">
        <w:rPr>
          <w:rFonts w:ascii="Arial" w:hAnsi="Arial" w:cs="Arial"/>
          <w:sz w:val="21"/>
        </w:rPr>
        <w:t>Mandrin</w:t>
      </w:r>
      <w:r w:rsidR="004F40B5">
        <w:rPr>
          <w:rFonts w:ascii="Arial" w:hAnsi="Arial" w:cs="Arial"/>
          <w:sz w:val="21"/>
        </w:rPr>
        <w:t>-Kalb</w:t>
      </w:r>
      <w:r w:rsidR="009949D2">
        <w:rPr>
          <w:rFonts w:ascii="Arial" w:hAnsi="Arial" w:cs="Arial"/>
          <w:sz w:val="21"/>
        </w:rPr>
        <w:t xml:space="preserve"> aus einer </w:t>
      </w:r>
      <w:r w:rsidR="0054543F">
        <w:rPr>
          <w:rFonts w:ascii="Arial" w:hAnsi="Arial" w:cs="Arial"/>
          <w:sz w:val="21"/>
        </w:rPr>
        <w:t>leistungs</w:t>
      </w:r>
      <w:r w:rsidR="00CC3CD6">
        <w:rPr>
          <w:rFonts w:ascii="Arial" w:hAnsi="Arial" w:cs="Arial"/>
          <w:sz w:val="21"/>
        </w:rPr>
        <w:t>- und zuchtwertstarken</w:t>
      </w:r>
      <w:r w:rsidR="0054543F">
        <w:rPr>
          <w:rFonts w:ascii="Arial" w:hAnsi="Arial" w:cs="Arial"/>
          <w:sz w:val="21"/>
        </w:rPr>
        <w:t xml:space="preserve"> </w:t>
      </w:r>
      <w:r w:rsidR="00CC3CD6">
        <w:rPr>
          <w:rFonts w:ascii="Arial" w:hAnsi="Arial" w:cs="Arial"/>
          <w:sz w:val="21"/>
        </w:rPr>
        <w:t>Zauber</w:t>
      </w:r>
      <w:r w:rsidR="003A6BAE">
        <w:rPr>
          <w:rFonts w:ascii="Arial" w:hAnsi="Arial" w:cs="Arial"/>
          <w:sz w:val="21"/>
        </w:rPr>
        <w:t>-Tochter.</w:t>
      </w:r>
    </w:p>
    <w:p w:rsidR="00EC05DD" w:rsidRPr="00F32759" w:rsidRDefault="00EC05D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5"/>
          <w:szCs w:val="5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275"/>
        <w:gridCol w:w="1418"/>
        <w:gridCol w:w="2126"/>
      </w:tblGrid>
      <w:tr w:rsidR="00387DCD" w:rsidTr="0069444B">
        <w:trPr>
          <w:trHeight w:val="521"/>
        </w:trPr>
        <w:tc>
          <w:tcPr>
            <w:tcW w:w="1985" w:type="dxa"/>
          </w:tcPr>
          <w:p w:rsidR="00387DCD" w:rsidRDefault="00387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Verkaufsergebnis: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387DCD" w:rsidRDefault="00387D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Verkauf</w:t>
            </w:r>
          </w:p>
        </w:tc>
        <w:tc>
          <w:tcPr>
            <w:tcW w:w="1134" w:type="dxa"/>
          </w:tcPr>
          <w:p w:rsidR="00387DCD" w:rsidRDefault="00387DC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Ø-Preis</w:t>
            </w:r>
          </w:p>
          <w:p w:rsidR="00387DCD" w:rsidRDefault="00387DC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netto</w:t>
            </w:r>
          </w:p>
        </w:tc>
        <w:tc>
          <w:tcPr>
            <w:tcW w:w="1275" w:type="dxa"/>
          </w:tcPr>
          <w:p w:rsidR="00387DCD" w:rsidRDefault="00387D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Ø-Preis</w:t>
            </w:r>
          </w:p>
          <w:p w:rsidR="00387DCD" w:rsidRDefault="00387D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inkl. Mwst</w:t>
            </w:r>
          </w:p>
        </w:tc>
        <w:tc>
          <w:tcPr>
            <w:tcW w:w="1418" w:type="dxa"/>
          </w:tcPr>
          <w:p w:rsidR="00387DCD" w:rsidRDefault="00387DC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Ø-Gewicht</w:t>
            </w:r>
          </w:p>
        </w:tc>
        <w:tc>
          <w:tcPr>
            <w:tcW w:w="2126" w:type="dxa"/>
          </w:tcPr>
          <w:p w:rsidR="00387DCD" w:rsidRDefault="00387D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Ø-Preis/Stk</w:t>
            </w:r>
          </w:p>
          <w:p w:rsidR="00387DCD" w:rsidRDefault="00387D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inkl. Mwst.</w:t>
            </w:r>
          </w:p>
        </w:tc>
      </w:tr>
      <w:tr w:rsidR="00387DCD" w:rsidTr="001A6707">
        <w:trPr>
          <w:trHeight w:val="281"/>
        </w:trPr>
        <w:tc>
          <w:tcPr>
            <w:tcW w:w="1985" w:type="dxa"/>
          </w:tcPr>
          <w:p w:rsidR="00387DCD" w:rsidRDefault="00387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Stierkälber</w:t>
            </w:r>
          </w:p>
        </w:tc>
        <w:tc>
          <w:tcPr>
            <w:tcW w:w="1276" w:type="dxa"/>
          </w:tcPr>
          <w:p w:rsidR="00387DCD" w:rsidRDefault="00280B21" w:rsidP="00FB07AA">
            <w:pPr>
              <w:tabs>
                <w:tab w:val="decimal" w:pos="733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252</w:t>
            </w:r>
          </w:p>
        </w:tc>
        <w:tc>
          <w:tcPr>
            <w:tcW w:w="1134" w:type="dxa"/>
          </w:tcPr>
          <w:p w:rsidR="00387DCD" w:rsidRDefault="00280B21" w:rsidP="003334C9">
            <w:pPr>
              <w:tabs>
                <w:tab w:val="decimal" w:pos="49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5,03</w:t>
            </w:r>
          </w:p>
        </w:tc>
        <w:tc>
          <w:tcPr>
            <w:tcW w:w="1275" w:type="dxa"/>
          </w:tcPr>
          <w:p w:rsidR="00387DCD" w:rsidRDefault="00280B21" w:rsidP="00C04E8F">
            <w:pPr>
              <w:tabs>
                <w:tab w:val="decimal" w:pos="49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5,68</w:t>
            </w:r>
          </w:p>
        </w:tc>
        <w:tc>
          <w:tcPr>
            <w:tcW w:w="1418" w:type="dxa"/>
          </w:tcPr>
          <w:p w:rsidR="00387DCD" w:rsidRDefault="00280B21" w:rsidP="00D94724">
            <w:pPr>
              <w:tabs>
                <w:tab w:val="decimal" w:pos="781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99</w:t>
            </w:r>
          </w:p>
        </w:tc>
        <w:tc>
          <w:tcPr>
            <w:tcW w:w="2126" w:type="dxa"/>
          </w:tcPr>
          <w:p w:rsidR="00387DCD" w:rsidRDefault="00280B21" w:rsidP="00D94724">
            <w:pPr>
              <w:tabs>
                <w:tab w:val="decimal" w:pos="106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563,63</w:t>
            </w:r>
          </w:p>
        </w:tc>
      </w:tr>
      <w:tr w:rsidR="00387DCD">
        <w:trPr>
          <w:trHeight w:val="293"/>
        </w:trPr>
        <w:tc>
          <w:tcPr>
            <w:tcW w:w="1985" w:type="dxa"/>
          </w:tcPr>
          <w:p w:rsidR="00387DCD" w:rsidRDefault="00387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weibl.</w:t>
            </w:r>
            <w:r w:rsidR="000E7D8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Zuchtkälber</w:t>
            </w:r>
          </w:p>
        </w:tc>
        <w:tc>
          <w:tcPr>
            <w:tcW w:w="1276" w:type="dxa"/>
          </w:tcPr>
          <w:p w:rsidR="00387DCD" w:rsidRDefault="00280B21" w:rsidP="003334C9">
            <w:pPr>
              <w:tabs>
                <w:tab w:val="decimal" w:pos="733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53</w:t>
            </w:r>
          </w:p>
        </w:tc>
        <w:tc>
          <w:tcPr>
            <w:tcW w:w="1134" w:type="dxa"/>
          </w:tcPr>
          <w:p w:rsidR="00387DCD" w:rsidRDefault="00280B21" w:rsidP="003334C9">
            <w:pPr>
              <w:tabs>
                <w:tab w:val="decimal" w:pos="49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5,31</w:t>
            </w:r>
          </w:p>
        </w:tc>
        <w:tc>
          <w:tcPr>
            <w:tcW w:w="1275" w:type="dxa"/>
          </w:tcPr>
          <w:p w:rsidR="00387DCD" w:rsidRDefault="00280B21" w:rsidP="003334C9">
            <w:pPr>
              <w:tabs>
                <w:tab w:val="decimal" w:pos="49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</w:t>
            </w:r>
          </w:p>
        </w:tc>
        <w:tc>
          <w:tcPr>
            <w:tcW w:w="1418" w:type="dxa"/>
          </w:tcPr>
          <w:p w:rsidR="00387DCD" w:rsidRDefault="00280B21" w:rsidP="003334C9">
            <w:pPr>
              <w:tabs>
                <w:tab w:val="decimal" w:pos="781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108</w:t>
            </w:r>
          </w:p>
        </w:tc>
        <w:tc>
          <w:tcPr>
            <w:tcW w:w="2126" w:type="dxa"/>
          </w:tcPr>
          <w:p w:rsidR="00387DCD" w:rsidRDefault="00280B21">
            <w:pPr>
              <w:tabs>
                <w:tab w:val="decimal" w:pos="106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649,22</w:t>
            </w:r>
          </w:p>
        </w:tc>
      </w:tr>
      <w:tr w:rsidR="00387DCD" w:rsidTr="001A6707">
        <w:trPr>
          <w:trHeight w:val="233"/>
        </w:trPr>
        <w:tc>
          <w:tcPr>
            <w:tcW w:w="1985" w:type="dxa"/>
          </w:tcPr>
          <w:p w:rsidR="00387DCD" w:rsidRDefault="00387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weibl. Nutzkälber</w:t>
            </w:r>
          </w:p>
        </w:tc>
        <w:tc>
          <w:tcPr>
            <w:tcW w:w="1276" w:type="dxa"/>
          </w:tcPr>
          <w:p w:rsidR="00387DCD" w:rsidRDefault="00280B21" w:rsidP="003334C9">
            <w:pPr>
              <w:tabs>
                <w:tab w:val="decimal" w:pos="733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48</w:t>
            </w:r>
          </w:p>
        </w:tc>
        <w:tc>
          <w:tcPr>
            <w:tcW w:w="1134" w:type="dxa"/>
          </w:tcPr>
          <w:p w:rsidR="00387DCD" w:rsidRDefault="00280B21" w:rsidP="003334C9">
            <w:pPr>
              <w:tabs>
                <w:tab w:val="decimal" w:pos="49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3,70</w:t>
            </w:r>
          </w:p>
        </w:tc>
        <w:tc>
          <w:tcPr>
            <w:tcW w:w="1275" w:type="dxa"/>
          </w:tcPr>
          <w:p w:rsidR="00387DCD" w:rsidRDefault="00280B21" w:rsidP="003334C9">
            <w:pPr>
              <w:tabs>
                <w:tab w:val="decimal" w:pos="49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4,18</w:t>
            </w:r>
          </w:p>
        </w:tc>
        <w:tc>
          <w:tcPr>
            <w:tcW w:w="1418" w:type="dxa"/>
          </w:tcPr>
          <w:p w:rsidR="00387DCD" w:rsidRDefault="00280B21" w:rsidP="00D94724">
            <w:pPr>
              <w:tabs>
                <w:tab w:val="decimal" w:pos="781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97</w:t>
            </w:r>
          </w:p>
        </w:tc>
        <w:tc>
          <w:tcPr>
            <w:tcW w:w="2126" w:type="dxa"/>
          </w:tcPr>
          <w:p w:rsidR="00387DCD" w:rsidRDefault="00280B21" w:rsidP="00962E14">
            <w:pPr>
              <w:tabs>
                <w:tab w:val="decimal" w:pos="106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405,59</w:t>
            </w:r>
          </w:p>
        </w:tc>
      </w:tr>
      <w:tr w:rsidR="00387DCD">
        <w:tc>
          <w:tcPr>
            <w:tcW w:w="1985" w:type="dxa"/>
          </w:tcPr>
          <w:p w:rsidR="00387DCD" w:rsidRDefault="00387D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Kälber gesamt</w:t>
            </w:r>
          </w:p>
        </w:tc>
        <w:tc>
          <w:tcPr>
            <w:tcW w:w="1276" w:type="dxa"/>
          </w:tcPr>
          <w:p w:rsidR="00387DCD" w:rsidRDefault="00280B21">
            <w:pPr>
              <w:tabs>
                <w:tab w:val="decimal" w:pos="733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353</w:t>
            </w:r>
          </w:p>
        </w:tc>
        <w:tc>
          <w:tcPr>
            <w:tcW w:w="1134" w:type="dxa"/>
          </w:tcPr>
          <w:p w:rsidR="00387DCD" w:rsidRDefault="00387DCD">
            <w:pPr>
              <w:tabs>
                <w:tab w:val="decimal" w:pos="733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</w:tcPr>
          <w:p w:rsidR="00387DCD" w:rsidRDefault="00387DCD">
            <w:pPr>
              <w:tabs>
                <w:tab w:val="decimal" w:pos="73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387DCD" w:rsidRDefault="00387DCD">
            <w:pPr>
              <w:tabs>
                <w:tab w:val="decimal" w:pos="73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87DCD" w:rsidRDefault="00387DCD">
            <w:pPr>
              <w:tabs>
                <w:tab w:val="decimal" w:pos="733"/>
              </w:tabs>
              <w:rPr>
                <w:rFonts w:ascii="Arial" w:hAnsi="Arial" w:cs="Arial"/>
                <w:b/>
              </w:rPr>
            </w:pPr>
          </w:p>
        </w:tc>
      </w:tr>
    </w:tbl>
    <w:p w:rsidR="00125F67" w:rsidRDefault="00125F67" w:rsidP="006473C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12F78" w:rsidRDefault="004D78A3" w:rsidP="006473C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Die </w:t>
      </w:r>
      <w:r w:rsidR="003A6BAE">
        <w:rPr>
          <w:rFonts w:ascii="Arial" w:hAnsi="Arial" w:cs="Arial"/>
          <w:b/>
          <w:bCs/>
          <w:sz w:val="21"/>
          <w:szCs w:val="21"/>
        </w:rPr>
        <w:t>nächsten</w:t>
      </w:r>
      <w:r>
        <w:rPr>
          <w:rFonts w:ascii="Arial" w:hAnsi="Arial" w:cs="Arial"/>
          <w:b/>
          <w:bCs/>
          <w:sz w:val="21"/>
          <w:szCs w:val="21"/>
        </w:rPr>
        <w:t xml:space="preserve"> Kälberversteigerungen im finden am Montag </w:t>
      </w:r>
      <w:r w:rsidR="00CC3CD6">
        <w:rPr>
          <w:rFonts w:ascii="Arial" w:hAnsi="Arial" w:cs="Arial"/>
          <w:b/>
          <w:bCs/>
          <w:sz w:val="21"/>
          <w:szCs w:val="21"/>
        </w:rPr>
        <w:t>15. Mai</w:t>
      </w:r>
      <w:r>
        <w:rPr>
          <w:rFonts w:ascii="Arial" w:hAnsi="Arial" w:cs="Arial"/>
          <w:b/>
          <w:bCs/>
          <w:sz w:val="21"/>
          <w:szCs w:val="21"/>
        </w:rPr>
        <w:t xml:space="preserve"> und am </w:t>
      </w:r>
      <w:r w:rsidR="00CC3CD6">
        <w:rPr>
          <w:rFonts w:ascii="Arial" w:hAnsi="Arial" w:cs="Arial"/>
          <w:b/>
          <w:bCs/>
          <w:sz w:val="21"/>
          <w:szCs w:val="21"/>
        </w:rPr>
        <w:t>Montag 29. Mai</w:t>
      </w:r>
      <w:r>
        <w:rPr>
          <w:rFonts w:ascii="Arial" w:hAnsi="Arial" w:cs="Arial"/>
          <w:b/>
          <w:bCs/>
          <w:sz w:val="21"/>
          <w:szCs w:val="21"/>
        </w:rPr>
        <w:t xml:space="preserve">  statt. Die </w:t>
      </w:r>
      <w:r w:rsidR="0054543F">
        <w:rPr>
          <w:rFonts w:ascii="Arial" w:hAnsi="Arial" w:cs="Arial"/>
          <w:b/>
          <w:bCs/>
          <w:sz w:val="21"/>
          <w:szCs w:val="21"/>
        </w:rPr>
        <w:t>nächste</w:t>
      </w:r>
      <w:r>
        <w:rPr>
          <w:rFonts w:ascii="Arial" w:hAnsi="Arial" w:cs="Arial"/>
          <w:b/>
          <w:bCs/>
          <w:sz w:val="21"/>
          <w:szCs w:val="21"/>
        </w:rPr>
        <w:t xml:space="preserve"> Zuchtrinderversteigerung findet am </w:t>
      </w:r>
      <w:r w:rsidR="00CC3CD6">
        <w:rPr>
          <w:rFonts w:ascii="Arial" w:hAnsi="Arial" w:cs="Arial"/>
          <w:b/>
          <w:bCs/>
          <w:sz w:val="21"/>
          <w:szCs w:val="21"/>
        </w:rPr>
        <w:t>Montag 12. Juni</w:t>
      </w:r>
      <w:r>
        <w:rPr>
          <w:rFonts w:ascii="Arial" w:hAnsi="Arial" w:cs="Arial"/>
          <w:b/>
          <w:bCs/>
          <w:sz w:val="21"/>
          <w:szCs w:val="21"/>
        </w:rPr>
        <w:t xml:space="preserve"> statt</w:t>
      </w:r>
      <w:r w:rsidR="00615BE6">
        <w:rPr>
          <w:rFonts w:ascii="Arial" w:hAnsi="Arial" w:cs="Arial"/>
          <w:b/>
          <w:bCs/>
          <w:sz w:val="21"/>
          <w:szCs w:val="21"/>
        </w:rPr>
        <w:t>.</w:t>
      </w:r>
      <w:r w:rsidR="000B4BBF">
        <w:rPr>
          <w:rFonts w:ascii="Arial" w:hAnsi="Arial" w:cs="Arial"/>
          <w:b/>
          <w:bCs/>
          <w:sz w:val="21"/>
          <w:szCs w:val="21"/>
        </w:rPr>
        <w:t xml:space="preserve"> Beginn Stierkälber 10:00 Uhr, Zuchtkälber 12:00 Uhr, Zuchtrinder 13:00 Uhr</w:t>
      </w:r>
      <w:r w:rsidR="009A179A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2D35F3" w:rsidRDefault="002D35F3" w:rsidP="006473C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B153A" w:rsidRPr="006473C2" w:rsidRDefault="00EB153A" w:rsidP="008A31D6">
      <w:pPr>
        <w:textAlignment w:val="auto"/>
        <w:rPr>
          <w:rFonts w:ascii="Arial" w:hAnsi="Arial" w:cs="Arial"/>
          <w:sz w:val="6"/>
          <w:szCs w:val="6"/>
        </w:rPr>
      </w:pPr>
    </w:p>
    <w:p w:rsidR="00387DCD" w:rsidRPr="00F32759" w:rsidRDefault="00722685">
      <w:pPr>
        <w:jc w:val="right"/>
        <w:rPr>
          <w:rFonts w:ascii="Arial" w:hAnsi="Arial" w:cs="Arial"/>
          <w:i/>
          <w:sz w:val="18"/>
          <w:szCs w:val="18"/>
          <w:lang w:val="it-IT"/>
        </w:rPr>
      </w:pPr>
      <w:r w:rsidRPr="00F32759">
        <w:rPr>
          <w:rFonts w:ascii="Arial" w:hAnsi="Arial" w:cs="Arial"/>
          <w:i/>
          <w:sz w:val="18"/>
          <w:szCs w:val="18"/>
          <w:lang w:val="de-DE"/>
        </w:rPr>
        <w:t>Franz Gstöttinger</w:t>
      </w:r>
    </w:p>
    <w:p w:rsidR="00387DCD" w:rsidRDefault="00387DCD">
      <w:pPr>
        <w:jc w:val="both"/>
        <w:rPr>
          <w:rFonts w:ascii="Arial" w:hAnsi="Arial" w:cs="Arial"/>
          <w:sz w:val="20"/>
          <w:lang w:val="it-IT"/>
        </w:rPr>
      </w:pPr>
    </w:p>
    <w:p w:rsidR="00387DCD" w:rsidRDefault="00235CE5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6391275" cy="1971675"/>
            <wp:effectExtent l="0" t="0" r="0" b="0"/>
            <wp:docPr id="1" name="Objekt 1" descr="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7DCD" w:rsidRDefault="00387DCD">
      <w:pPr>
        <w:rPr>
          <w:rFonts w:ascii="Trebuchet MS" w:hAnsi="Trebuchet MS"/>
          <w:sz w:val="20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3"/>
      </w:tblGrid>
      <w:tr w:rsidR="00387DCD">
        <w:trPr>
          <w:cantSplit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387DCD" w:rsidP="00202F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190213">
              <w:rPr>
                <w:rFonts w:ascii="Arial" w:hAnsi="Arial" w:cs="Arial"/>
                <w:sz w:val="20"/>
              </w:rPr>
              <w:t>201</w:t>
            </w:r>
            <w:r w:rsidR="00202F35">
              <w:rPr>
                <w:rFonts w:ascii="Arial" w:hAnsi="Arial" w:cs="Arial"/>
                <w:sz w:val="20"/>
              </w:rPr>
              <w:t>6/17</w:t>
            </w:r>
          </w:p>
        </w:tc>
      </w:tr>
      <w:tr w:rsidR="00CC3CD6">
        <w:trPr>
          <w:cantSplit/>
          <w:trHeight w:val="266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Dezember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 (23)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1.945 (1.649)</w:t>
            </w:r>
          </w:p>
        </w:tc>
      </w:tr>
      <w:tr w:rsidR="00CC3CD6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 (26)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1.735 (1.586)</w:t>
            </w:r>
          </w:p>
        </w:tc>
      </w:tr>
      <w:tr w:rsidR="00CC3CD6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 (22)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1.670 (1.595)</w:t>
            </w:r>
          </w:p>
        </w:tc>
      </w:tr>
      <w:tr w:rsidR="00FA1F9E" w:rsidTr="000B4BBF">
        <w:trPr>
          <w:cantSplit/>
          <w:trHeight w:val="74"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A1F9E" w:rsidRDefault="00CC3CD6" w:rsidP="006805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F9E" w:rsidRDefault="00CC3CD6" w:rsidP="00C847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2D25C6">
              <w:rPr>
                <w:rFonts w:ascii="Arial" w:hAnsi="Arial" w:cs="Arial"/>
                <w:sz w:val="20"/>
              </w:rPr>
              <w:t xml:space="preserve"> (</w:t>
            </w:r>
            <w:r w:rsidR="00C8475A">
              <w:rPr>
                <w:rFonts w:ascii="Arial" w:hAnsi="Arial" w:cs="Arial"/>
                <w:sz w:val="20"/>
              </w:rPr>
              <w:t>22</w:t>
            </w:r>
            <w:r w:rsidR="002D25C6">
              <w:rPr>
                <w:rFonts w:ascii="Arial" w:hAnsi="Arial" w:cs="Arial"/>
                <w:sz w:val="20"/>
              </w:rPr>
              <w:t>)</w:t>
            </w:r>
            <w:r w:rsidR="008A31D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F9E" w:rsidRDefault="00237909" w:rsidP="00CC3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CC3CD6">
              <w:rPr>
                <w:rFonts w:ascii="Arial" w:hAnsi="Arial" w:cs="Arial"/>
                <w:sz w:val="20"/>
              </w:rPr>
              <w:t>956</w:t>
            </w:r>
            <w:r w:rsidR="00EE3292">
              <w:rPr>
                <w:rFonts w:ascii="Arial" w:hAnsi="Arial" w:cs="Arial"/>
                <w:sz w:val="20"/>
              </w:rPr>
              <w:t xml:space="preserve"> </w:t>
            </w:r>
            <w:r w:rsidR="002D25C6">
              <w:rPr>
                <w:rFonts w:ascii="Arial" w:hAnsi="Arial" w:cs="Arial"/>
                <w:sz w:val="20"/>
              </w:rPr>
              <w:t>(</w:t>
            </w:r>
            <w:r w:rsidR="00081909">
              <w:rPr>
                <w:rFonts w:ascii="Arial" w:hAnsi="Arial" w:cs="Arial"/>
                <w:sz w:val="20"/>
              </w:rPr>
              <w:t>1.</w:t>
            </w:r>
            <w:r w:rsidR="00202F35">
              <w:rPr>
                <w:rFonts w:ascii="Arial" w:hAnsi="Arial" w:cs="Arial"/>
                <w:sz w:val="20"/>
              </w:rPr>
              <w:t>5</w:t>
            </w:r>
            <w:r w:rsidR="00C8475A">
              <w:rPr>
                <w:rFonts w:ascii="Arial" w:hAnsi="Arial" w:cs="Arial"/>
                <w:sz w:val="20"/>
              </w:rPr>
              <w:t>95</w:t>
            </w:r>
            <w:r w:rsidR="002D25C6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387DCD" w:rsidRDefault="00387DCD">
      <w:pPr>
        <w:rPr>
          <w:rFonts w:ascii="Arial" w:hAnsi="Arial" w:cs="Arial"/>
          <w:sz w:val="20"/>
        </w:rPr>
      </w:pPr>
    </w:p>
    <w:p w:rsidR="00387DCD" w:rsidRDefault="00387DCD">
      <w:pPr>
        <w:rPr>
          <w:rFonts w:ascii="Arial" w:hAnsi="Arial" w:cs="Arial"/>
          <w:sz w:val="20"/>
        </w:rPr>
      </w:pPr>
    </w:p>
    <w:p w:rsidR="00387DCD" w:rsidRDefault="00235CE5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6324600" cy="2019300"/>
            <wp:effectExtent l="0" t="0" r="0" b="0"/>
            <wp:docPr id="2" name="Objekt 2" descr="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7DCD" w:rsidRDefault="00387DCD">
      <w:pPr>
        <w:rPr>
          <w:rFonts w:ascii="Trebuchet MS" w:hAnsi="Trebuchet MS"/>
          <w:sz w:val="20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3"/>
      </w:tblGrid>
      <w:tr w:rsidR="00387DCD">
        <w:trPr>
          <w:cantSplit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AE5D55" w:rsidP="00202F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201</w:t>
            </w:r>
            <w:r w:rsidR="00202F35">
              <w:rPr>
                <w:rFonts w:ascii="Arial" w:hAnsi="Arial" w:cs="Arial"/>
                <w:sz w:val="20"/>
              </w:rPr>
              <w:t>6</w:t>
            </w:r>
            <w:r w:rsidR="00B21783">
              <w:rPr>
                <w:rFonts w:ascii="Arial" w:hAnsi="Arial" w:cs="Arial"/>
                <w:sz w:val="20"/>
              </w:rPr>
              <w:t>/1</w:t>
            </w:r>
            <w:r w:rsidR="00202F35">
              <w:rPr>
                <w:rFonts w:ascii="Arial" w:hAnsi="Arial" w:cs="Arial"/>
                <w:sz w:val="20"/>
              </w:rPr>
              <w:t>7</w:t>
            </w:r>
          </w:p>
        </w:tc>
      </w:tr>
      <w:tr w:rsidR="00CC3CD6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Dezember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    (10)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2.124 (1.570) </w:t>
            </w:r>
          </w:p>
        </w:tc>
      </w:tr>
      <w:tr w:rsidR="00CC3CD6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     (3)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2.016 (1.667) </w:t>
            </w:r>
          </w:p>
        </w:tc>
      </w:tr>
      <w:tr w:rsidR="00CC3CD6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    (11)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2.536 (1.831) </w:t>
            </w:r>
          </w:p>
        </w:tc>
      </w:tr>
      <w:tr w:rsidR="00432AB8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32AB8" w:rsidRDefault="00CC3CD6" w:rsidP="000475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AB8" w:rsidRDefault="00CC3CD6" w:rsidP="00C847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  <w:r w:rsidR="00432AB8">
              <w:rPr>
                <w:rFonts w:ascii="Arial" w:hAnsi="Arial" w:cs="Arial"/>
                <w:sz w:val="20"/>
              </w:rPr>
              <w:t xml:space="preserve">     (</w:t>
            </w:r>
            <w:r w:rsidR="00C8475A">
              <w:rPr>
                <w:rFonts w:ascii="Arial" w:hAnsi="Arial" w:cs="Arial"/>
                <w:sz w:val="20"/>
              </w:rPr>
              <w:t>11</w:t>
            </w:r>
            <w:r w:rsidR="00EE329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AB8" w:rsidRDefault="00472AB6" w:rsidP="00CC3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CC3CD6">
              <w:rPr>
                <w:rFonts w:ascii="Arial" w:hAnsi="Arial" w:cs="Arial"/>
                <w:sz w:val="20"/>
              </w:rPr>
              <w:t>166</w:t>
            </w:r>
            <w:r w:rsidR="00432AB8">
              <w:rPr>
                <w:rFonts w:ascii="Arial" w:hAnsi="Arial" w:cs="Arial"/>
                <w:sz w:val="20"/>
              </w:rPr>
              <w:t xml:space="preserve"> (1.</w:t>
            </w:r>
            <w:r w:rsidR="00C8475A">
              <w:rPr>
                <w:rFonts w:ascii="Arial" w:hAnsi="Arial" w:cs="Arial"/>
                <w:sz w:val="20"/>
              </w:rPr>
              <w:t>831</w:t>
            </w:r>
            <w:r w:rsidR="00432AB8">
              <w:rPr>
                <w:rFonts w:ascii="Arial" w:hAnsi="Arial" w:cs="Arial"/>
                <w:sz w:val="20"/>
              </w:rPr>
              <w:t xml:space="preserve">) </w:t>
            </w:r>
          </w:p>
        </w:tc>
      </w:tr>
    </w:tbl>
    <w:p w:rsidR="00387DCD" w:rsidRDefault="00387DCD">
      <w:pPr>
        <w:rPr>
          <w:rFonts w:ascii="Trebuchet MS" w:hAnsi="Trebuchet MS"/>
          <w:sz w:val="20"/>
        </w:rPr>
      </w:pPr>
    </w:p>
    <w:p w:rsidR="00387DCD" w:rsidRDefault="00387DCD">
      <w:pPr>
        <w:rPr>
          <w:rFonts w:ascii="Arial" w:hAnsi="Arial" w:cs="Arial"/>
          <w:sz w:val="20"/>
        </w:rPr>
      </w:pPr>
    </w:p>
    <w:p w:rsidR="007541C9" w:rsidRDefault="00235CE5" w:rsidP="007541C9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715000" cy="2324100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41C9" w:rsidRDefault="007541C9" w:rsidP="007541C9">
      <w:pPr>
        <w:rPr>
          <w:rFonts w:ascii="Arial" w:hAnsi="Arial" w:cs="Arial"/>
          <w:sz w:val="20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0B4BBF" w:rsidTr="007541C9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B4BBF" w:rsidRDefault="000B4BBF" w:rsidP="00F00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F" w:rsidRDefault="000B4BBF" w:rsidP="00F00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F" w:rsidRDefault="000B4BBF" w:rsidP="00202F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201</w:t>
            </w:r>
            <w:r w:rsidR="00202F3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/1</w:t>
            </w:r>
            <w:r w:rsidR="00202F3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B4BBF" w:rsidRDefault="000B4BBF" w:rsidP="00F00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A76153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 (85)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4,81 (4,41)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 (97)</w:t>
            </w:r>
          </w:p>
        </w:tc>
      </w:tr>
      <w:tr w:rsidR="00A76153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(45)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4,93 (4,45)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 (96)</w:t>
            </w:r>
          </w:p>
        </w:tc>
      </w:tr>
      <w:tr w:rsidR="00A76153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 (63)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5,18 (4,65)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 (108)</w:t>
            </w:r>
          </w:p>
        </w:tc>
      </w:tr>
      <w:tr w:rsidR="00F100D6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100D6" w:rsidRDefault="00A76153" w:rsidP="00432E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D6" w:rsidRDefault="00A76153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  <w:r w:rsidR="00F100D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17</w:t>
            </w:r>
            <w:r w:rsidR="00F100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D6" w:rsidRDefault="00A76153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5,31</w:t>
            </w:r>
            <w:r w:rsidR="00F100D6">
              <w:rPr>
                <w:rFonts w:ascii="Arial" w:hAnsi="Arial" w:cs="Arial"/>
                <w:sz w:val="20"/>
              </w:rPr>
              <w:t xml:space="preserve"> (4,</w:t>
            </w:r>
            <w:r>
              <w:rPr>
                <w:rFonts w:ascii="Arial" w:hAnsi="Arial" w:cs="Arial"/>
                <w:sz w:val="20"/>
              </w:rPr>
              <w:t>23</w:t>
            </w:r>
            <w:r w:rsidR="00F100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00D6" w:rsidRDefault="00F100D6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A7615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(9</w:t>
            </w:r>
            <w:r w:rsidR="00A76153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387DCD" w:rsidRDefault="00387DCD">
      <w:pPr>
        <w:rPr>
          <w:rFonts w:ascii="Arial" w:hAnsi="Arial" w:cs="Arial"/>
          <w:sz w:val="20"/>
        </w:rPr>
      </w:pPr>
    </w:p>
    <w:p w:rsidR="00387DCD" w:rsidRDefault="00387DCD">
      <w:pPr>
        <w:rPr>
          <w:lang w:val="de-DE"/>
        </w:rPr>
      </w:pPr>
    </w:p>
    <w:p w:rsidR="007541C9" w:rsidRDefault="00235CE5" w:rsidP="007541C9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19750" cy="2324100"/>
            <wp:effectExtent l="0" t="0" r="0" b="0"/>
            <wp:docPr id="4" name="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41C9" w:rsidRDefault="007541C9" w:rsidP="007541C9">
      <w:pPr>
        <w:rPr>
          <w:sz w:val="20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7541C9" w:rsidTr="007541C9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541C9" w:rsidRDefault="007541C9" w:rsidP="007541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9" w:rsidRDefault="007541C9" w:rsidP="007541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9" w:rsidRDefault="00AE5D55" w:rsidP="00202F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201</w:t>
            </w:r>
            <w:r w:rsidR="00202F3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/1</w:t>
            </w:r>
            <w:r w:rsidR="00202F3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541C9" w:rsidRDefault="007541C9" w:rsidP="007541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CC3CD6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638 (904)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4,69 (4,67)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 (95)</w:t>
            </w:r>
          </w:p>
        </w:tc>
      </w:tr>
      <w:tr w:rsidR="00CC3CD6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558 (563)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5,23 (4,83)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(99)</w:t>
            </w:r>
          </w:p>
        </w:tc>
      </w:tr>
      <w:tr w:rsidR="00CC3CD6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626 (558)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5,33 (4,70)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C3CD6" w:rsidRDefault="00CC3CD6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(100)</w:t>
            </w:r>
          </w:p>
        </w:tc>
      </w:tr>
      <w:tr w:rsidR="00F100D6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100D6" w:rsidRDefault="00CC3CD6" w:rsidP="00432E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D6" w:rsidRDefault="00CC3CD6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A76153">
              <w:rPr>
                <w:rFonts w:ascii="Arial" w:hAnsi="Arial" w:cs="Arial"/>
                <w:sz w:val="20"/>
              </w:rPr>
              <w:t>2</w:t>
            </w:r>
            <w:r w:rsidR="00F100D6">
              <w:rPr>
                <w:rFonts w:ascii="Arial" w:hAnsi="Arial" w:cs="Arial"/>
                <w:sz w:val="20"/>
              </w:rPr>
              <w:t xml:space="preserve"> (</w:t>
            </w:r>
            <w:r w:rsidR="00A76153">
              <w:rPr>
                <w:rFonts w:ascii="Arial" w:hAnsi="Arial" w:cs="Arial"/>
                <w:sz w:val="20"/>
              </w:rPr>
              <w:t>269</w:t>
            </w:r>
            <w:r w:rsidR="00F100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D6" w:rsidRDefault="00F100D6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</w:t>
            </w:r>
            <w:r w:rsidR="00A7615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3 (</w:t>
            </w:r>
            <w:r w:rsidR="00A76153">
              <w:rPr>
                <w:rFonts w:ascii="Arial" w:hAnsi="Arial" w:cs="Arial"/>
                <w:sz w:val="20"/>
              </w:rPr>
              <w:t>5,19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00D6" w:rsidRDefault="00F100D6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A7615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(9</w:t>
            </w:r>
            <w:r w:rsidR="00A7615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7541C9" w:rsidRDefault="007541C9" w:rsidP="007541C9">
      <w:pPr>
        <w:rPr>
          <w:rFonts w:ascii="Trebuchet MS" w:hAnsi="Trebuchet MS"/>
          <w:sz w:val="20"/>
        </w:rPr>
      </w:pPr>
    </w:p>
    <w:p w:rsidR="007541C9" w:rsidRDefault="00235CE5" w:rsidP="007541C9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15940" cy="2320925"/>
            <wp:effectExtent l="0" t="0" r="0" b="0"/>
            <wp:docPr id="5" name="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41C9" w:rsidRDefault="007541C9" w:rsidP="007541C9">
      <w:pPr>
        <w:rPr>
          <w:sz w:val="20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0B4BBF" w:rsidTr="007541C9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B4BBF" w:rsidRDefault="000B4BBF" w:rsidP="00F00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F" w:rsidRDefault="000B4BBF" w:rsidP="00F00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F" w:rsidRDefault="000B4BBF" w:rsidP="00202F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201</w:t>
            </w:r>
            <w:r w:rsidR="00202F3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/1</w:t>
            </w:r>
            <w:r w:rsidR="00202F3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B4BBF" w:rsidRDefault="000B4BBF" w:rsidP="00F00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A76153" w:rsidTr="008E762D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 (174)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3,33 (3,68)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(89)</w:t>
            </w:r>
          </w:p>
        </w:tc>
      </w:tr>
      <w:tr w:rsidR="00A76153" w:rsidTr="008E762D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 (93)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3,53 (3,60)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(90)</w:t>
            </w:r>
          </w:p>
        </w:tc>
      </w:tr>
      <w:tr w:rsidR="00A76153" w:rsidTr="008E762D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 (108)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3,79 (3,44)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76153" w:rsidRDefault="00A76153" w:rsidP="00F2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 (94)</w:t>
            </w:r>
          </w:p>
        </w:tc>
      </w:tr>
      <w:tr w:rsidR="00F100D6" w:rsidTr="007541C9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100D6" w:rsidRDefault="00A76153" w:rsidP="00432E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D6" w:rsidRDefault="00A76153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  <w:r w:rsidR="00F100D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51</w:t>
            </w:r>
            <w:r w:rsidR="00F100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D6" w:rsidRDefault="00F100D6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A76153"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sz w:val="20"/>
              </w:rPr>
              <w:t xml:space="preserve"> (3,</w:t>
            </w:r>
            <w:r w:rsidR="00C8475A">
              <w:rPr>
                <w:rFonts w:ascii="Arial" w:hAnsi="Arial" w:cs="Arial"/>
                <w:sz w:val="20"/>
              </w:rPr>
              <w:t>6</w:t>
            </w:r>
            <w:r w:rsidR="00A7615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00D6" w:rsidRDefault="00F100D6" w:rsidP="00A76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A76153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(9</w:t>
            </w:r>
            <w:r w:rsidR="00A76153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7541C9" w:rsidRDefault="007541C9" w:rsidP="007541C9">
      <w:pPr>
        <w:rPr>
          <w:rFonts w:ascii="Arial" w:hAnsi="Arial" w:cs="Arial"/>
          <w:sz w:val="20"/>
        </w:rPr>
      </w:pPr>
    </w:p>
    <w:p w:rsidR="00387DCD" w:rsidRDefault="00387D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</w:p>
    <w:p w:rsidR="00387DCD" w:rsidRDefault="00387DCD">
      <w:pPr>
        <w:rPr>
          <w:b/>
          <w:bCs/>
          <w:sz w:val="22"/>
        </w:rPr>
      </w:pPr>
    </w:p>
    <w:sectPr w:rsidR="00387DCD" w:rsidSect="00F100D6">
      <w:pgSz w:w="11907" w:h="16840"/>
      <w:pgMar w:top="426" w:right="85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CD"/>
    <w:rsid w:val="000030FB"/>
    <w:rsid w:val="00006530"/>
    <w:rsid w:val="0000679F"/>
    <w:rsid w:val="000076CF"/>
    <w:rsid w:val="00010C96"/>
    <w:rsid w:val="000131EA"/>
    <w:rsid w:val="00013E92"/>
    <w:rsid w:val="00021DF2"/>
    <w:rsid w:val="0002257F"/>
    <w:rsid w:val="0002345E"/>
    <w:rsid w:val="000254DE"/>
    <w:rsid w:val="00040061"/>
    <w:rsid w:val="00041760"/>
    <w:rsid w:val="00044B89"/>
    <w:rsid w:val="00052081"/>
    <w:rsid w:val="00052637"/>
    <w:rsid w:val="000547C6"/>
    <w:rsid w:val="00055770"/>
    <w:rsid w:val="00061870"/>
    <w:rsid w:val="000620E5"/>
    <w:rsid w:val="000716A7"/>
    <w:rsid w:val="0007501F"/>
    <w:rsid w:val="00081188"/>
    <w:rsid w:val="00081909"/>
    <w:rsid w:val="00084689"/>
    <w:rsid w:val="000863D1"/>
    <w:rsid w:val="0008659F"/>
    <w:rsid w:val="0008731F"/>
    <w:rsid w:val="00087A85"/>
    <w:rsid w:val="00087F49"/>
    <w:rsid w:val="00095FA0"/>
    <w:rsid w:val="000A1B3F"/>
    <w:rsid w:val="000A284B"/>
    <w:rsid w:val="000A2FA4"/>
    <w:rsid w:val="000A675C"/>
    <w:rsid w:val="000A69BE"/>
    <w:rsid w:val="000B2840"/>
    <w:rsid w:val="000B2A92"/>
    <w:rsid w:val="000B2D70"/>
    <w:rsid w:val="000B4BBF"/>
    <w:rsid w:val="000B7B2E"/>
    <w:rsid w:val="000C15D7"/>
    <w:rsid w:val="000C204C"/>
    <w:rsid w:val="000C2F25"/>
    <w:rsid w:val="000C333B"/>
    <w:rsid w:val="000C5CEA"/>
    <w:rsid w:val="000C6E3A"/>
    <w:rsid w:val="000C6F04"/>
    <w:rsid w:val="000D384F"/>
    <w:rsid w:val="000D5610"/>
    <w:rsid w:val="000D7932"/>
    <w:rsid w:val="000E029D"/>
    <w:rsid w:val="000E1C64"/>
    <w:rsid w:val="000E7D8A"/>
    <w:rsid w:val="000F1592"/>
    <w:rsid w:val="000F27D8"/>
    <w:rsid w:val="001024A3"/>
    <w:rsid w:val="00104B60"/>
    <w:rsid w:val="0010737A"/>
    <w:rsid w:val="00107C25"/>
    <w:rsid w:val="00111943"/>
    <w:rsid w:val="00113F4F"/>
    <w:rsid w:val="00114D74"/>
    <w:rsid w:val="001150C8"/>
    <w:rsid w:val="00115177"/>
    <w:rsid w:val="001157CD"/>
    <w:rsid w:val="00117DEF"/>
    <w:rsid w:val="00125F67"/>
    <w:rsid w:val="001265ED"/>
    <w:rsid w:val="001406B0"/>
    <w:rsid w:val="0014213D"/>
    <w:rsid w:val="00147536"/>
    <w:rsid w:val="00150E15"/>
    <w:rsid w:val="00155362"/>
    <w:rsid w:val="001562C3"/>
    <w:rsid w:val="001613FF"/>
    <w:rsid w:val="00162DCA"/>
    <w:rsid w:val="00164B0D"/>
    <w:rsid w:val="00164EE1"/>
    <w:rsid w:val="0017173F"/>
    <w:rsid w:val="001740AD"/>
    <w:rsid w:val="00174F47"/>
    <w:rsid w:val="00182AC8"/>
    <w:rsid w:val="00184C84"/>
    <w:rsid w:val="00190213"/>
    <w:rsid w:val="00190E2D"/>
    <w:rsid w:val="001954BE"/>
    <w:rsid w:val="001957A4"/>
    <w:rsid w:val="001969F3"/>
    <w:rsid w:val="001A1E1E"/>
    <w:rsid w:val="001A4B3F"/>
    <w:rsid w:val="001A5BEF"/>
    <w:rsid w:val="001A6707"/>
    <w:rsid w:val="001A6D23"/>
    <w:rsid w:val="001A72E2"/>
    <w:rsid w:val="001A7AF9"/>
    <w:rsid w:val="001B6714"/>
    <w:rsid w:val="001B77D2"/>
    <w:rsid w:val="001C4B79"/>
    <w:rsid w:val="001D6316"/>
    <w:rsid w:val="001E03AA"/>
    <w:rsid w:val="001E0C57"/>
    <w:rsid w:val="001E3ECC"/>
    <w:rsid w:val="001E622E"/>
    <w:rsid w:val="001E6772"/>
    <w:rsid w:val="001F64E4"/>
    <w:rsid w:val="001F7BF1"/>
    <w:rsid w:val="00202F35"/>
    <w:rsid w:val="00203328"/>
    <w:rsid w:val="00206E33"/>
    <w:rsid w:val="002123E5"/>
    <w:rsid w:val="0021699D"/>
    <w:rsid w:val="002216B4"/>
    <w:rsid w:val="00223B7B"/>
    <w:rsid w:val="00225600"/>
    <w:rsid w:val="00230544"/>
    <w:rsid w:val="0023570E"/>
    <w:rsid w:val="00235CE5"/>
    <w:rsid w:val="00237909"/>
    <w:rsid w:val="002400A9"/>
    <w:rsid w:val="00240FBF"/>
    <w:rsid w:val="00241344"/>
    <w:rsid w:val="00242BF2"/>
    <w:rsid w:val="00246537"/>
    <w:rsid w:val="002519F2"/>
    <w:rsid w:val="0025376C"/>
    <w:rsid w:val="00257DFA"/>
    <w:rsid w:val="002605E4"/>
    <w:rsid w:val="002617AC"/>
    <w:rsid w:val="00261CED"/>
    <w:rsid w:val="002667A7"/>
    <w:rsid w:val="00271494"/>
    <w:rsid w:val="00280B21"/>
    <w:rsid w:val="00283945"/>
    <w:rsid w:val="00287A52"/>
    <w:rsid w:val="00294662"/>
    <w:rsid w:val="00295E84"/>
    <w:rsid w:val="002964B8"/>
    <w:rsid w:val="002965F5"/>
    <w:rsid w:val="00297724"/>
    <w:rsid w:val="002A0039"/>
    <w:rsid w:val="002A7DC2"/>
    <w:rsid w:val="002B3112"/>
    <w:rsid w:val="002B7228"/>
    <w:rsid w:val="002C029E"/>
    <w:rsid w:val="002C2801"/>
    <w:rsid w:val="002C6139"/>
    <w:rsid w:val="002C658D"/>
    <w:rsid w:val="002D0666"/>
    <w:rsid w:val="002D25C6"/>
    <w:rsid w:val="002D35F3"/>
    <w:rsid w:val="002D3C8F"/>
    <w:rsid w:val="002D55A4"/>
    <w:rsid w:val="002D78B3"/>
    <w:rsid w:val="002E08E8"/>
    <w:rsid w:val="002E7248"/>
    <w:rsid w:val="002F64A9"/>
    <w:rsid w:val="0030284A"/>
    <w:rsid w:val="00303408"/>
    <w:rsid w:val="00311803"/>
    <w:rsid w:val="00312D41"/>
    <w:rsid w:val="00314174"/>
    <w:rsid w:val="00320B35"/>
    <w:rsid w:val="00320D3F"/>
    <w:rsid w:val="00321F1B"/>
    <w:rsid w:val="00322BF0"/>
    <w:rsid w:val="00323656"/>
    <w:rsid w:val="00332092"/>
    <w:rsid w:val="003334C9"/>
    <w:rsid w:val="0033627E"/>
    <w:rsid w:val="00341BF5"/>
    <w:rsid w:val="00342BA6"/>
    <w:rsid w:val="00344FBB"/>
    <w:rsid w:val="003458E6"/>
    <w:rsid w:val="0034756A"/>
    <w:rsid w:val="00353508"/>
    <w:rsid w:val="003545A8"/>
    <w:rsid w:val="003560C9"/>
    <w:rsid w:val="00357B77"/>
    <w:rsid w:val="00361200"/>
    <w:rsid w:val="0037375C"/>
    <w:rsid w:val="00373C18"/>
    <w:rsid w:val="00374F0C"/>
    <w:rsid w:val="003837D1"/>
    <w:rsid w:val="00387DCD"/>
    <w:rsid w:val="00391A14"/>
    <w:rsid w:val="00397BCD"/>
    <w:rsid w:val="003A0717"/>
    <w:rsid w:val="003A414F"/>
    <w:rsid w:val="003A6BAE"/>
    <w:rsid w:val="003B0CDB"/>
    <w:rsid w:val="003B169D"/>
    <w:rsid w:val="003B2F77"/>
    <w:rsid w:val="003B43BF"/>
    <w:rsid w:val="003B4F84"/>
    <w:rsid w:val="003B689E"/>
    <w:rsid w:val="003B69C4"/>
    <w:rsid w:val="003C3BF1"/>
    <w:rsid w:val="003C3E33"/>
    <w:rsid w:val="003D2A67"/>
    <w:rsid w:val="003D52CA"/>
    <w:rsid w:val="003D6ECB"/>
    <w:rsid w:val="003E0BE4"/>
    <w:rsid w:val="003E556E"/>
    <w:rsid w:val="003E5DBC"/>
    <w:rsid w:val="003E7BD9"/>
    <w:rsid w:val="003F36FF"/>
    <w:rsid w:val="003F4333"/>
    <w:rsid w:val="003F77C8"/>
    <w:rsid w:val="00402E78"/>
    <w:rsid w:val="004120C0"/>
    <w:rsid w:val="004139A2"/>
    <w:rsid w:val="004170A6"/>
    <w:rsid w:val="00420209"/>
    <w:rsid w:val="00425EEC"/>
    <w:rsid w:val="0043084A"/>
    <w:rsid w:val="00431C49"/>
    <w:rsid w:val="004329BF"/>
    <w:rsid w:val="00432AB8"/>
    <w:rsid w:val="004363A5"/>
    <w:rsid w:val="004373A0"/>
    <w:rsid w:val="004377F1"/>
    <w:rsid w:val="00441C71"/>
    <w:rsid w:val="0044314C"/>
    <w:rsid w:val="00447751"/>
    <w:rsid w:val="00450196"/>
    <w:rsid w:val="00450B6E"/>
    <w:rsid w:val="00450CA2"/>
    <w:rsid w:val="00453C39"/>
    <w:rsid w:val="004546DD"/>
    <w:rsid w:val="00456FD1"/>
    <w:rsid w:val="00460FDA"/>
    <w:rsid w:val="004641ED"/>
    <w:rsid w:val="00467772"/>
    <w:rsid w:val="004703C3"/>
    <w:rsid w:val="004710CB"/>
    <w:rsid w:val="00472AB6"/>
    <w:rsid w:val="004806B9"/>
    <w:rsid w:val="00482267"/>
    <w:rsid w:val="004863EE"/>
    <w:rsid w:val="004913CA"/>
    <w:rsid w:val="004A0D50"/>
    <w:rsid w:val="004A2AB4"/>
    <w:rsid w:val="004B09A4"/>
    <w:rsid w:val="004C1C76"/>
    <w:rsid w:val="004C2442"/>
    <w:rsid w:val="004D0203"/>
    <w:rsid w:val="004D55E2"/>
    <w:rsid w:val="004D78A3"/>
    <w:rsid w:val="004E3E1C"/>
    <w:rsid w:val="004E437D"/>
    <w:rsid w:val="004E546D"/>
    <w:rsid w:val="004E56BF"/>
    <w:rsid w:val="004E7BDF"/>
    <w:rsid w:val="004F0933"/>
    <w:rsid w:val="004F30C8"/>
    <w:rsid w:val="004F40B5"/>
    <w:rsid w:val="004F4189"/>
    <w:rsid w:val="004F6DCE"/>
    <w:rsid w:val="00512D97"/>
    <w:rsid w:val="0051321B"/>
    <w:rsid w:val="00520293"/>
    <w:rsid w:val="005306F2"/>
    <w:rsid w:val="00531590"/>
    <w:rsid w:val="005323BC"/>
    <w:rsid w:val="0053241E"/>
    <w:rsid w:val="0053716F"/>
    <w:rsid w:val="00542D72"/>
    <w:rsid w:val="0054543F"/>
    <w:rsid w:val="00546F7A"/>
    <w:rsid w:val="0055625C"/>
    <w:rsid w:val="0056242B"/>
    <w:rsid w:val="005641AA"/>
    <w:rsid w:val="0057067E"/>
    <w:rsid w:val="0057564B"/>
    <w:rsid w:val="005817B6"/>
    <w:rsid w:val="00586D1D"/>
    <w:rsid w:val="00596950"/>
    <w:rsid w:val="005A09F1"/>
    <w:rsid w:val="005A7382"/>
    <w:rsid w:val="005B1555"/>
    <w:rsid w:val="005B3BD0"/>
    <w:rsid w:val="005D66C3"/>
    <w:rsid w:val="005E0463"/>
    <w:rsid w:val="005E0F94"/>
    <w:rsid w:val="005E21FD"/>
    <w:rsid w:val="005E238A"/>
    <w:rsid w:val="005E496F"/>
    <w:rsid w:val="005E6BF1"/>
    <w:rsid w:val="005F10A9"/>
    <w:rsid w:val="005F20CE"/>
    <w:rsid w:val="005F2DC6"/>
    <w:rsid w:val="0060365D"/>
    <w:rsid w:val="00605E57"/>
    <w:rsid w:val="00606DA8"/>
    <w:rsid w:val="00606EE9"/>
    <w:rsid w:val="0061011F"/>
    <w:rsid w:val="006103B0"/>
    <w:rsid w:val="00612820"/>
    <w:rsid w:val="00612B3A"/>
    <w:rsid w:val="00615BE6"/>
    <w:rsid w:val="006168B4"/>
    <w:rsid w:val="00616C6D"/>
    <w:rsid w:val="00621942"/>
    <w:rsid w:val="0062198A"/>
    <w:rsid w:val="00622E76"/>
    <w:rsid w:val="006249F3"/>
    <w:rsid w:val="00634C5F"/>
    <w:rsid w:val="00634D31"/>
    <w:rsid w:val="00636F0B"/>
    <w:rsid w:val="006373FD"/>
    <w:rsid w:val="00643E54"/>
    <w:rsid w:val="006473C2"/>
    <w:rsid w:val="00650B73"/>
    <w:rsid w:val="00657171"/>
    <w:rsid w:val="0066732F"/>
    <w:rsid w:val="00667576"/>
    <w:rsid w:val="00671D17"/>
    <w:rsid w:val="006773E4"/>
    <w:rsid w:val="0068056B"/>
    <w:rsid w:val="006817C6"/>
    <w:rsid w:val="006832EE"/>
    <w:rsid w:val="0068584A"/>
    <w:rsid w:val="00687A90"/>
    <w:rsid w:val="0069444B"/>
    <w:rsid w:val="00696CD6"/>
    <w:rsid w:val="006A027D"/>
    <w:rsid w:val="006A0426"/>
    <w:rsid w:val="006A219B"/>
    <w:rsid w:val="006A2432"/>
    <w:rsid w:val="006A3D90"/>
    <w:rsid w:val="006A55F8"/>
    <w:rsid w:val="006A6758"/>
    <w:rsid w:val="006A683B"/>
    <w:rsid w:val="006B2CCB"/>
    <w:rsid w:val="006B5025"/>
    <w:rsid w:val="006D40A5"/>
    <w:rsid w:val="006D5AB0"/>
    <w:rsid w:val="006D6632"/>
    <w:rsid w:val="006D72EE"/>
    <w:rsid w:val="006E3046"/>
    <w:rsid w:val="006E4921"/>
    <w:rsid w:val="006F014B"/>
    <w:rsid w:val="006F025C"/>
    <w:rsid w:val="006F1DF9"/>
    <w:rsid w:val="006F245F"/>
    <w:rsid w:val="006F4098"/>
    <w:rsid w:val="006F66A4"/>
    <w:rsid w:val="0070026B"/>
    <w:rsid w:val="007003EE"/>
    <w:rsid w:val="007011F7"/>
    <w:rsid w:val="00704160"/>
    <w:rsid w:val="007058B5"/>
    <w:rsid w:val="00706928"/>
    <w:rsid w:val="00707BD7"/>
    <w:rsid w:val="00710C93"/>
    <w:rsid w:val="0071193E"/>
    <w:rsid w:val="00712F78"/>
    <w:rsid w:val="00720338"/>
    <w:rsid w:val="007225DD"/>
    <w:rsid w:val="00722685"/>
    <w:rsid w:val="0072437E"/>
    <w:rsid w:val="00741A77"/>
    <w:rsid w:val="00742E86"/>
    <w:rsid w:val="00743174"/>
    <w:rsid w:val="007475E9"/>
    <w:rsid w:val="00752642"/>
    <w:rsid w:val="007541C9"/>
    <w:rsid w:val="0075600A"/>
    <w:rsid w:val="00757B00"/>
    <w:rsid w:val="00757E6D"/>
    <w:rsid w:val="007604AD"/>
    <w:rsid w:val="00762798"/>
    <w:rsid w:val="007632EA"/>
    <w:rsid w:val="0076414D"/>
    <w:rsid w:val="00770037"/>
    <w:rsid w:val="007710A2"/>
    <w:rsid w:val="00773F42"/>
    <w:rsid w:val="007862C0"/>
    <w:rsid w:val="00787A66"/>
    <w:rsid w:val="00787ABC"/>
    <w:rsid w:val="00792358"/>
    <w:rsid w:val="007939B0"/>
    <w:rsid w:val="0079400D"/>
    <w:rsid w:val="0079676E"/>
    <w:rsid w:val="007A3580"/>
    <w:rsid w:val="007A57C8"/>
    <w:rsid w:val="007A5A57"/>
    <w:rsid w:val="007B2995"/>
    <w:rsid w:val="007C61EA"/>
    <w:rsid w:val="007C69B8"/>
    <w:rsid w:val="007C7DF9"/>
    <w:rsid w:val="007D2AD0"/>
    <w:rsid w:val="007D3EE5"/>
    <w:rsid w:val="007D4EAB"/>
    <w:rsid w:val="007E09D4"/>
    <w:rsid w:val="007E0DA6"/>
    <w:rsid w:val="007F0159"/>
    <w:rsid w:val="007F7005"/>
    <w:rsid w:val="007F71AF"/>
    <w:rsid w:val="00802ECF"/>
    <w:rsid w:val="008042D1"/>
    <w:rsid w:val="00811EAE"/>
    <w:rsid w:val="00814983"/>
    <w:rsid w:val="00814A74"/>
    <w:rsid w:val="00823B17"/>
    <w:rsid w:val="0082633A"/>
    <w:rsid w:val="0083184D"/>
    <w:rsid w:val="008330D4"/>
    <w:rsid w:val="00843BF8"/>
    <w:rsid w:val="00846495"/>
    <w:rsid w:val="008468B4"/>
    <w:rsid w:val="008479BB"/>
    <w:rsid w:val="00850173"/>
    <w:rsid w:val="00851F9F"/>
    <w:rsid w:val="0085232E"/>
    <w:rsid w:val="00852AC8"/>
    <w:rsid w:val="00857E95"/>
    <w:rsid w:val="00857F14"/>
    <w:rsid w:val="00860A1D"/>
    <w:rsid w:val="00861DB8"/>
    <w:rsid w:val="008640B8"/>
    <w:rsid w:val="0086436B"/>
    <w:rsid w:val="00866074"/>
    <w:rsid w:val="0086714C"/>
    <w:rsid w:val="008678EC"/>
    <w:rsid w:val="00874777"/>
    <w:rsid w:val="00876941"/>
    <w:rsid w:val="008774DE"/>
    <w:rsid w:val="008778FB"/>
    <w:rsid w:val="00880696"/>
    <w:rsid w:val="00882756"/>
    <w:rsid w:val="00882C17"/>
    <w:rsid w:val="0088690F"/>
    <w:rsid w:val="00886C7E"/>
    <w:rsid w:val="00887869"/>
    <w:rsid w:val="008903B3"/>
    <w:rsid w:val="0089144B"/>
    <w:rsid w:val="00891EBB"/>
    <w:rsid w:val="00893AD5"/>
    <w:rsid w:val="008968E8"/>
    <w:rsid w:val="00896AD7"/>
    <w:rsid w:val="00897CFC"/>
    <w:rsid w:val="008A1A30"/>
    <w:rsid w:val="008A31D6"/>
    <w:rsid w:val="008A5C7A"/>
    <w:rsid w:val="008A7BBD"/>
    <w:rsid w:val="008B67A0"/>
    <w:rsid w:val="008B7468"/>
    <w:rsid w:val="008C53F9"/>
    <w:rsid w:val="008C5696"/>
    <w:rsid w:val="008C595A"/>
    <w:rsid w:val="008D4818"/>
    <w:rsid w:val="008D54AC"/>
    <w:rsid w:val="008D5530"/>
    <w:rsid w:val="008E5C77"/>
    <w:rsid w:val="008E630D"/>
    <w:rsid w:val="008E6399"/>
    <w:rsid w:val="008F1594"/>
    <w:rsid w:val="008F232A"/>
    <w:rsid w:val="008F3EE4"/>
    <w:rsid w:val="008F4BC9"/>
    <w:rsid w:val="008F75B9"/>
    <w:rsid w:val="00906036"/>
    <w:rsid w:val="009103EB"/>
    <w:rsid w:val="009125FD"/>
    <w:rsid w:val="00913AB8"/>
    <w:rsid w:val="009174E1"/>
    <w:rsid w:val="0092148B"/>
    <w:rsid w:val="009218E9"/>
    <w:rsid w:val="009225D8"/>
    <w:rsid w:val="0092272C"/>
    <w:rsid w:val="009241E8"/>
    <w:rsid w:val="009246F3"/>
    <w:rsid w:val="00925555"/>
    <w:rsid w:val="00925C17"/>
    <w:rsid w:val="00927568"/>
    <w:rsid w:val="00927C73"/>
    <w:rsid w:val="00930EB6"/>
    <w:rsid w:val="00937953"/>
    <w:rsid w:val="0094581C"/>
    <w:rsid w:val="0095017E"/>
    <w:rsid w:val="00955361"/>
    <w:rsid w:val="00957FF4"/>
    <w:rsid w:val="009612F3"/>
    <w:rsid w:val="00962E14"/>
    <w:rsid w:val="0096372B"/>
    <w:rsid w:val="00967247"/>
    <w:rsid w:val="0096761F"/>
    <w:rsid w:val="0097534C"/>
    <w:rsid w:val="009764C0"/>
    <w:rsid w:val="009807EB"/>
    <w:rsid w:val="009949D2"/>
    <w:rsid w:val="009A179A"/>
    <w:rsid w:val="009B196C"/>
    <w:rsid w:val="009B1FBD"/>
    <w:rsid w:val="009B28D4"/>
    <w:rsid w:val="009B65CB"/>
    <w:rsid w:val="009C0EA3"/>
    <w:rsid w:val="009C48A1"/>
    <w:rsid w:val="009C4F8C"/>
    <w:rsid w:val="009C61C2"/>
    <w:rsid w:val="009C7831"/>
    <w:rsid w:val="009D0605"/>
    <w:rsid w:val="009D4FFE"/>
    <w:rsid w:val="009E26DB"/>
    <w:rsid w:val="009E55F5"/>
    <w:rsid w:val="009E7A5B"/>
    <w:rsid w:val="009F102E"/>
    <w:rsid w:val="009F6020"/>
    <w:rsid w:val="009F77CB"/>
    <w:rsid w:val="00A02552"/>
    <w:rsid w:val="00A02FB1"/>
    <w:rsid w:val="00A07AA2"/>
    <w:rsid w:val="00A1182B"/>
    <w:rsid w:val="00A12E6B"/>
    <w:rsid w:val="00A17C35"/>
    <w:rsid w:val="00A23C89"/>
    <w:rsid w:val="00A246F2"/>
    <w:rsid w:val="00A24AF2"/>
    <w:rsid w:val="00A25D75"/>
    <w:rsid w:val="00A27537"/>
    <w:rsid w:val="00A40C46"/>
    <w:rsid w:val="00A40D4A"/>
    <w:rsid w:val="00A43B6A"/>
    <w:rsid w:val="00A44651"/>
    <w:rsid w:val="00A464F9"/>
    <w:rsid w:val="00A47B9F"/>
    <w:rsid w:val="00A51B25"/>
    <w:rsid w:val="00A51C0B"/>
    <w:rsid w:val="00A61FF8"/>
    <w:rsid w:val="00A635EF"/>
    <w:rsid w:val="00A65EBF"/>
    <w:rsid w:val="00A675CB"/>
    <w:rsid w:val="00A739F4"/>
    <w:rsid w:val="00A76153"/>
    <w:rsid w:val="00A76600"/>
    <w:rsid w:val="00A77C84"/>
    <w:rsid w:val="00A86AEA"/>
    <w:rsid w:val="00A91D22"/>
    <w:rsid w:val="00AA16DF"/>
    <w:rsid w:val="00AB2DD0"/>
    <w:rsid w:val="00AB59C3"/>
    <w:rsid w:val="00AC22E8"/>
    <w:rsid w:val="00AC3575"/>
    <w:rsid w:val="00AC3E80"/>
    <w:rsid w:val="00AD4BF2"/>
    <w:rsid w:val="00AE24C6"/>
    <w:rsid w:val="00AE5D55"/>
    <w:rsid w:val="00AE60C5"/>
    <w:rsid w:val="00AE6119"/>
    <w:rsid w:val="00AF4B39"/>
    <w:rsid w:val="00B05416"/>
    <w:rsid w:val="00B06EB7"/>
    <w:rsid w:val="00B07A6D"/>
    <w:rsid w:val="00B11B9A"/>
    <w:rsid w:val="00B15885"/>
    <w:rsid w:val="00B21783"/>
    <w:rsid w:val="00B21F5B"/>
    <w:rsid w:val="00B21FA6"/>
    <w:rsid w:val="00B23E7A"/>
    <w:rsid w:val="00B25F2D"/>
    <w:rsid w:val="00B26EC7"/>
    <w:rsid w:val="00B32754"/>
    <w:rsid w:val="00B40AE0"/>
    <w:rsid w:val="00B55F84"/>
    <w:rsid w:val="00B610CC"/>
    <w:rsid w:val="00B61EA4"/>
    <w:rsid w:val="00B63831"/>
    <w:rsid w:val="00B6589D"/>
    <w:rsid w:val="00B700D1"/>
    <w:rsid w:val="00B75EE5"/>
    <w:rsid w:val="00B87DA3"/>
    <w:rsid w:val="00B91FA6"/>
    <w:rsid w:val="00B9289F"/>
    <w:rsid w:val="00BA6B1F"/>
    <w:rsid w:val="00BA6EE3"/>
    <w:rsid w:val="00BB52EA"/>
    <w:rsid w:val="00BC032F"/>
    <w:rsid w:val="00BC1B32"/>
    <w:rsid w:val="00BC2BAC"/>
    <w:rsid w:val="00BC2D6C"/>
    <w:rsid w:val="00BC53A3"/>
    <w:rsid w:val="00BC72AB"/>
    <w:rsid w:val="00BD7F06"/>
    <w:rsid w:val="00BE1F6C"/>
    <w:rsid w:val="00BE300F"/>
    <w:rsid w:val="00BF10A9"/>
    <w:rsid w:val="00BF154C"/>
    <w:rsid w:val="00BF4B9E"/>
    <w:rsid w:val="00BF4F09"/>
    <w:rsid w:val="00C01E67"/>
    <w:rsid w:val="00C04E8F"/>
    <w:rsid w:val="00C079F7"/>
    <w:rsid w:val="00C143D3"/>
    <w:rsid w:val="00C149FC"/>
    <w:rsid w:val="00C16707"/>
    <w:rsid w:val="00C2413D"/>
    <w:rsid w:val="00C274FF"/>
    <w:rsid w:val="00C30227"/>
    <w:rsid w:val="00C37C27"/>
    <w:rsid w:val="00C41D2E"/>
    <w:rsid w:val="00C45D7B"/>
    <w:rsid w:val="00C4755A"/>
    <w:rsid w:val="00C5393A"/>
    <w:rsid w:val="00C577EF"/>
    <w:rsid w:val="00C57D68"/>
    <w:rsid w:val="00C71156"/>
    <w:rsid w:val="00C8475A"/>
    <w:rsid w:val="00C85F99"/>
    <w:rsid w:val="00C864FE"/>
    <w:rsid w:val="00C9108A"/>
    <w:rsid w:val="00C92277"/>
    <w:rsid w:val="00C93FDD"/>
    <w:rsid w:val="00C948C8"/>
    <w:rsid w:val="00CA4601"/>
    <w:rsid w:val="00CB3A93"/>
    <w:rsid w:val="00CB6D94"/>
    <w:rsid w:val="00CC01F9"/>
    <w:rsid w:val="00CC1DF4"/>
    <w:rsid w:val="00CC233C"/>
    <w:rsid w:val="00CC2D2F"/>
    <w:rsid w:val="00CC2F21"/>
    <w:rsid w:val="00CC3CD6"/>
    <w:rsid w:val="00CC6C43"/>
    <w:rsid w:val="00CD1A95"/>
    <w:rsid w:val="00CD28F3"/>
    <w:rsid w:val="00CD6E73"/>
    <w:rsid w:val="00CE2347"/>
    <w:rsid w:val="00CE7223"/>
    <w:rsid w:val="00CF5C4E"/>
    <w:rsid w:val="00D00A26"/>
    <w:rsid w:val="00D00F6E"/>
    <w:rsid w:val="00D0213C"/>
    <w:rsid w:val="00D023C6"/>
    <w:rsid w:val="00D03F6A"/>
    <w:rsid w:val="00D04775"/>
    <w:rsid w:val="00D0625F"/>
    <w:rsid w:val="00D0748B"/>
    <w:rsid w:val="00D07C2D"/>
    <w:rsid w:val="00D11396"/>
    <w:rsid w:val="00D2334B"/>
    <w:rsid w:val="00D2650E"/>
    <w:rsid w:val="00D31506"/>
    <w:rsid w:val="00D34031"/>
    <w:rsid w:val="00D4074A"/>
    <w:rsid w:val="00D4352B"/>
    <w:rsid w:val="00D46B16"/>
    <w:rsid w:val="00D54C63"/>
    <w:rsid w:val="00D673FE"/>
    <w:rsid w:val="00D7065D"/>
    <w:rsid w:val="00D80551"/>
    <w:rsid w:val="00D85EE5"/>
    <w:rsid w:val="00D86132"/>
    <w:rsid w:val="00D94724"/>
    <w:rsid w:val="00DA0673"/>
    <w:rsid w:val="00DA68AE"/>
    <w:rsid w:val="00DB3651"/>
    <w:rsid w:val="00DB3C1F"/>
    <w:rsid w:val="00DB45A1"/>
    <w:rsid w:val="00DB4CF6"/>
    <w:rsid w:val="00DC359D"/>
    <w:rsid w:val="00DC487A"/>
    <w:rsid w:val="00DD5B03"/>
    <w:rsid w:val="00DE4012"/>
    <w:rsid w:val="00DE4016"/>
    <w:rsid w:val="00DE6917"/>
    <w:rsid w:val="00E00459"/>
    <w:rsid w:val="00E0598B"/>
    <w:rsid w:val="00E05DCF"/>
    <w:rsid w:val="00E13F9C"/>
    <w:rsid w:val="00E16342"/>
    <w:rsid w:val="00E1690C"/>
    <w:rsid w:val="00E20D1A"/>
    <w:rsid w:val="00E255B7"/>
    <w:rsid w:val="00E262C7"/>
    <w:rsid w:val="00E3167B"/>
    <w:rsid w:val="00E35E6B"/>
    <w:rsid w:val="00E36034"/>
    <w:rsid w:val="00E44084"/>
    <w:rsid w:val="00E464F0"/>
    <w:rsid w:val="00E61794"/>
    <w:rsid w:val="00E61BAB"/>
    <w:rsid w:val="00E6371B"/>
    <w:rsid w:val="00E6479D"/>
    <w:rsid w:val="00E67E7E"/>
    <w:rsid w:val="00E73132"/>
    <w:rsid w:val="00E73EA8"/>
    <w:rsid w:val="00E745E2"/>
    <w:rsid w:val="00E82138"/>
    <w:rsid w:val="00E8320F"/>
    <w:rsid w:val="00E94A9A"/>
    <w:rsid w:val="00EA0356"/>
    <w:rsid w:val="00EA037A"/>
    <w:rsid w:val="00EA0724"/>
    <w:rsid w:val="00EA5E6B"/>
    <w:rsid w:val="00EA7EE7"/>
    <w:rsid w:val="00EB153A"/>
    <w:rsid w:val="00EB1700"/>
    <w:rsid w:val="00EB18D3"/>
    <w:rsid w:val="00EB4549"/>
    <w:rsid w:val="00EB5B47"/>
    <w:rsid w:val="00EB5C71"/>
    <w:rsid w:val="00EB6BA1"/>
    <w:rsid w:val="00EC02C4"/>
    <w:rsid w:val="00EC05DD"/>
    <w:rsid w:val="00EC38D8"/>
    <w:rsid w:val="00EC7C01"/>
    <w:rsid w:val="00ED0518"/>
    <w:rsid w:val="00ED3223"/>
    <w:rsid w:val="00ED47B9"/>
    <w:rsid w:val="00ED5CEC"/>
    <w:rsid w:val="00ED60A9"/>
    <w:rsid w:val="00ED63A8"/>
    <w:rsid w:val="00EE3292"/>
    <w:rsid w:val="00EE4B53"/>
    <w:rsid w:val="00EE4C72"/>
    <w:rsid w:val="00EE54CB"/>
    <w:rsid w:val="00EF1CDE"/>
    <w:rsid w:val="00EF3EE7"/>
    <w:rsid w:val="00F03A10"/>
    <w:rsid w:val="00F100D6"/>
    <w:rsid w:val="00F12E76"/>
    <w:rsid w:val="00F13282"/>
    <w:rsid w:val="00F159E2"/>
    <w:rsid w:val="00F201E0"/>
    <w:rsid w:val="00F20875"/>
    <w:rsid w:val="00F22849"/>
    <w:rsid w:val="00F23918"/>
    <w:rsid w:val="00F3161C"/>
    <w:rsid w:val="00F32759"/>
    <w:rsid w:val="00F355BB"/>
    <w:rsid w:val="00F36B3C"/>
    <w:rsid w:val="00F40478"/>
    <w:rsid w:val="00F4173D"/>
    <w:rsid w:val="00F41FC1"/>
    <w:rsid w:val="00F43A8D"/>
    <w:rsid w:val="00F478F3"/>
    <w:rsid w:val="00F53584"/>
    <w:rsid w:val="00F53D14"/>
    <w:rsid w:val="00F55EB7"/>
    <w:rsid w:val="00F606E9"/>
    <w:rsid w:val="00F608A3"/>
    <w:rsid w:val="00F62870"/>
    <w:rsid w:val="00F71B7C"/>
    <w:rsid w:val="00F71CA0"/>
    <w:rsid w:val="00F756D6"/>
    <w:rsid w:val="00F818C5"/>
    <w:rsid w:val="00F8239A"/>
    <w:rsid w:val="00F8467A"/>
    <w:rsid w:val="00F84975"/>
    <w:rsid w:val="00F84E33"/>
    <w:rsid w:val="00F85996"/>
    <w:rsid w:val="00F91E18"/>
    <w:rsid w:val="00F93EC8"/>
    <w:rsid w:val="00FA0A34"/>
    <w:rsid w:val="00FA1F9E"/>
    <w:rsid w:val="00FA3A0C"/>
    <w:rsid w:val="00FA7DD2"/>
    <w:rsid w:val="00FB017B"/>
    <w:rsid w:val="00FB07AA"/>
    <w:rsid w:val="00FB0DF7"/>
    <w:rsid w:val="00FB6FC2"/>
    <w:rsid w:val="00FB7BBE"/>
    <w:rsid w:val="00FB7DBB"/>
    <w:rsid w:val="00FC1B98"/>
    <w:rsid w:val="00FC1D2F"/>
    <w:rsid w:val="00FC2645"/>
    <w:rsid w:val="00FC4DE9"/>
    <w:rsid w:val="00FD15E6"/>
    <w:rsid w:val="00FD1A0F"/>
    <w:rsid w:val="00FD2ADC"/>
    <w:rsid w:val="00FD6B5E"/>
    <w:rsid w:val="00FD6D4C"/>
    <w:rsid w:val="00FD7E93"/>
    <w:rsid w:val="00FE079C"/>
    <w:rsid w:val="00FE4D76"/>
    <w:rsid w:val="00FE70B3"/>
    <w:rsid w:val="00FF36E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CC71C-1ABA-4713-9F5F-6EE30D88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9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9B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 Kühe  netto</a:t>
            </a:r>
          </a:p>
        </c:rich>
      </c:tx>
      <c:layout>
        <c:manualLayout>
          <c:xMode val="edge"/>
          <c:yMode val="edge"/>
          <c:x val="0.42684766214177977"/>
          <c:y val="0"/>
        </c:manualLayout>
      </c:layout>
      <c:overlay val="0"/>
      <c:spPr>
        <a:noFill/>
        <a:ln w="2013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497737556561084E-2"/>
          <c:y val="0.19796954314720813"/>
          <c:w val="0.83107088989441935"/>
          <c:h val="0.659898477157360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0133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Jän./Feb.</c:v>
                </c:pt>
                <c:pt idx="1">
                  <c:v>März</c:v>
                </c:pt>
                <c:pt idx="2">
                  <c:v>April/Mai</c:v>
                </c:pt>
                <c:pt idx="3">
                  <c:v>Juni</c:v>
                </c:pt>
                <c:pt idx="4">
                  <c:v>Juli</c:v>
                </c:pt>
                <c:pt idx="5">
                  <c:v>Aug. </c:v>
                </c:pt>
                <c:pt idx="6">
                  <c:v>Sept./Okt.</c:v>
                </c:pt>
                <c:pt idx="7">
                  <c:v>Nov.</c:v>
                </c:pt>
                <c:pt idx="8">
                  <c:v>Dez.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1656</c:v>
                </c:pt>
                <c:pt idx="1">
                  <c:v>1774</c:v>
                </c:pt>
                <c:pt idx="2">
                  <c:v>1851</c:v>
                </c:pt>
                <c:pt idx="3">
                  <c:v>1797</c:v>
                </c:pt>
                <c:pt idx="4">
                  <c:v>1878</c:v>
                </c:pt>
                <c:pt idx="5">
                  <c:v>1823</c:v>
                </c:pt>
                <c:pt idx="6">
                  <c:v>1646</c:v>
                </c:pt>
                <c:pt idx="7">
                  <c:v>1678</c:v>
                </c:pt>
                <c:pt idx="8">
                  <c:v>1649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D4-439D-BDFE-CE0D26BC218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ln w="20133">
              <a:solidFill>
                <a:srgbClr val="FF00FF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Jän./Feb.</c:v>
                </c:pt>
                <c:pt idx="1">
                  <c:v>März</c:v>
                </c:pt>
                <c:pt idx="2">
                  <c:v>April/Mai</c:v>
                </c:pt>
                <c:pt idx="3">
                  <c:v>Juni</c:v>
                </c:pt>
                <c:pt idx="4">
                  <c:v>Juli</c:v>
                </c:pt>
                <c:pt idx="5">
                  <c:v>Aug. </c:v>
                </c:pt>
                <c:pt idx="6">
                  <c:v>Sept./Okt.</c:v>
                </c:pt>
                <c:pt idx="7">
                  <c:v>Nov.</c:v>
                </c:pt>
                <c:pt idx="8">
                  <c:v>Dez.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1586</c:v>
                </c:pt>
                <c:pt idx="1">
                  <c:v>1595</c:v>
                </c:pt>
                <c:pt idx="2">
                  <c:v>1597</c:v>
                </c:pt>
                <c:pt idx="3">
                  <c:v>1520</c:v>
                </c:pt>
                <c:pt idx="4">
                  <c:v>1709</c:v>
                </c:pt>
                <c:pt idx="5">
                  <c:v>1566</c:v>
                </c:pt>
                <c:pt idx="6">
                  <c:v>1716</c:v>
                </c:pt>
                <c:pt idx="7">
                  <c:v>1790</c:v>
                </c:pt>
                <c:pt idx="8">
                  <c:v>1945.26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D4-439D-BDFE-CE0D26BC2182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ln w="30200">
              <a:solidFill>
                <a:srgbClr val="339966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Jän./Feb.</c:v>
                </c:pt>
                <c:pt idx="1">
                  <c:v>März</c:v>
                </c:pt>
                <c:pt idx="2">
                  <c:v>April/Mai</c:v>
                </c:pt>
                <c:pt idx="3">
                  <c:v>Juni</c:v>
                </c:pt>
                <c:pt idx="4">
                  <c:v>Juli</c:v>
                </c:pt>
                <c:pt idx="5">
                  <c:v>Aug. </c:v>
                </c:pt>
                <c:pt idx="6">
                  <c:v>Sept./Okt.</c:v>
                </c:pt>
                <c:pt idx="7">
                  <c:v>Nov.</c:v>
                </c:pt>
                <c:pt idx="8">
                  <c:v>Dez.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1735</c:v>
                </c:pt>
                <c:pt idx="1">
                  <c:v>1670</c:v>
                </c:pt>
                <c:pt idx="2">
                  <c:v>1956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D4-439D-BDFE-CE0D26BC2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05728"/>
        <c:axId val="1"/>
      </c:lineChart>
      <c:catAx>
        <c:axId val="18530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150"/>
          <c:min val="1350"/>
        </c:scaling>
        <c:delete val="0"/>
        <c:axPos val="l"/>
        <c:majorGridlines>
          <c:spPr>
            <a:ln w="251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25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85305728"/>
        <c:crosses val="autoZero"/>
        <c:crossBetween val="between"/>
        <c:majorUnit val="100"/>
      </c:valAx>
      <c:spPr>
        <a:noFill/>
        <a:ln w="251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44645550527905"/>
          <c:y val="1.015228426395939E-2"/>
          <c:w val="0.10407239819004525"/>
          <c:h val="0.18274111675126903"/>
        </c:manualLayout>
      </c:layout>
      <c:overlay val="0"/>
      <c:spPr>
        <a:noFill/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5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pattFill prst="pct5">
      <a:fgClr>
        <a:srgbClr val="FFFFFF"/>
      </a:fgClr>
      <a:bgClr>
        <a:srgbClr val="FFFFFF"/>
      </a:bgClr>
    </a:pattFill>
    <a:ln>
      <a:noFill/>
    </a:ln>
  </c:spPr>
  <c:txPr>
    <a:bodyPr/>
    <a:lstStyle/>
    <a:p>
      <a:pPr>
        <a:defRPr sz="69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Kalbinnen netto</a:t>
            </a:r>
          </a:p>
        </c:rich>
      </c:tx>
      <c:layout>
        <c:manualLayout>
          <c:xMode val="edge"/>
          <c:yMode val="edge"/>
          <c:x val="0.43053435114503819"/>
          <c:y val="1.9801980198019802E-2"/>
        </c:manualLayout>
      </c:layout>
      <c:overlay val="0"/>
      <c:spPr>
        <a:noFill/>
        <a:ln w="201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603053435114504E-2"/>
          <c:y val="0.18316831683168316"/>
          <c:w val="0.83053435114503815"/>
          <c:h val="0.678217821782178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0162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Jän./Feb</c:v>
                </c:pt>
                <c:pt idx="1">
                  <c:v>März</c:v>
                </c:pt>
                <c:pt idx="2">
                  <c:v>April/Mai</c:v>
                </c:pt>
                <c:pt idx="3">
                  <c:v>Juni</c:v>
                </c:pt>
                <c:pt idx="4">
                  <c:v>Juli</c:v>
                </c:pt>
                <c:pt idx="5">
                  <c:v>Aug.</c:v>
                </c:pt>
                <c:pt idx="6">
                  <c:v>Sept./Okt.</c:v>
                </c:pt>
                <c:pt idx="7">
                  <c:v>Nov.</c:v>
                </c:pt>
                <c:pt idx="8">
                  <c:v>Dez.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1657</c:v>
                </c:pt>
                <c:pt idx="1">
                  <c:v>1910</c:v>
                </c:pt>
                <c:pt idx="2">
                  <c:v>1950</c:v>
                </c:pt>
                <c:pt idx="3">
                  <c:v>1818</c:v>
                </c:pt>
                <c:pt idx="4">
                  <c:v>1791</c:v>
                </c:pt>
                <c:pt idx="5">
                  <c:v>1757</c:v>
                </c:pt>
                <c:pt idx="6">
                  <c:v>1636</c:v>
                </c:pt>
                <c:pt idx="7">
                  <c:v>1601</c:v>
                </c:pt>
                <c:pt idx="8">
                  <c:v>1570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06-42F5-896C-FCE40EB291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ln w="20162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Jän./Feb</c:v>
                </c:pt>
                <c:pt idx="1">
                  <c:v>März</c:v>
                </c:pt>
                <c:pt idx="2">
                  <c:v>April/Mai</c:v>
                </c:pt>
                <c:pt idx="3">
                  <c:v>Juni</c:v>
                </c:pt>
                <c:pt idx="4">
                  <c:v>Juli</c:v>
                </c:pt>
                <c:pt idx="5">
                  <c:v>Aug.</c:v>
                </c:pt>
                <c:pt idx="6">
                  <c:v>Sept./Okt.</c:v>
                </c:pt>
                <c:pt idx="7">
                  <c:v>Nov.</c:v>
                </c:pt>
                <c:pt idx="8">
                  <c:v>Dez.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1667</c:v>
                </c:pt>
                <c:pt idx="1">
                  <c:v>1832</c:v>
                </c:pt>
                <c:pt idx="2">
                  <c:v>1832</c:v>
                </c:pt>
                <c:pt idx="3">
                  <c:v>1887</c:v>
                </c:pt>
                <c:pt idx="4">
                  <c:v>1928</c:v>
                </c:pt>
                <c:pt idx="5">
                  <c:v>1917</c:v>
                </c:pt>
                <c:pt idx="6">
                  <c:v>1906</c:v>
                </c:pt>
                <c:pt idx="7">
                  <c:v>1889</c:v>
                </c:pt>
                <c:pt idx="8">
                  <c:v>2124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06-42F5-896C-FCE40EB2916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ln w="30244">
              <a:solidFill>
                <a:srgbClr val="339966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Jän./Feb</c:v>
                </c:pt>
                <c:pt idx="1">
                  <c:v>März</c:v>
                </c:pt>
                <c:pt idx="2">
                  <c:v>April/Mai</c:v>
                </c:pt>
                <c:pt idx="3">
                  <c:v>Juni</c:v>
                </c:pt>
                <c:pt idx="4">
                  <c:v>Juli</c:v>
                </c:pt>
                <c:pt idx="5">
                  <c:v>Aug.</c:v>
                </c:pt>
                <c:pt idx="6">
                  <c:v>Sept./Okt.</c:v>
                </c:pt>
                <c:pt idx="7">
                  <c:v>Nov.</c:v>
                </c:pt>
                <c:pt idx="8">
                  <c:v>Dez.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2016</c:v>
                </c:pt>
                <c:pt idx="1">
                  <c:v>2536</c:v>
                </c:pt>
                <c:pt idx="2">
                  <c:v>2166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106-42F5-896C-FCE40EB29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558480"/>
        <c:axId val="1"/>
      </c:lineChart>
      <c:catAx>
        <c:axId val="18455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600"/>
          <c:min val="1500"/>
        </c:scaling>
        <c:delete val="0"/>
        <c:axPos val="l"/>
        <c:majorGridlines>
          <c:spPr>
            <a:ln w="2520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25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84558480"/>
        <c:crosses val="autoZero"/>
        <c:crossBetween val="between"/>
        <c:majorUnit val="100"/>
      </c:valAx>
      <c:spPr>
        <a:noFill/>
        <a:ln w="252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06106870229013"/>
          <c:y val="0"/>
          <c:w val="9.6183206106870228E-2"/>
          <c:h val="0.17821782178217821"/>
        </c:manualLayout>
      </c:layout>
      <c:overlay val="0"/>
      <c:spPr>
        <a:noFill/>
        <a:ln w="2520">
          <a:solidFill>
            <a:srgbClr val="000000"/>
          </a:solidFill>
          <a:prstDash val="solid"/>
        </a:ln>
      </c:spPr>
      <c:txPr>
        <a:bodyPr/>
        <a:lstStyle/>
        <a:p>
          <a:pPr>
            <a:defRPr sz="58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pattFill prst="pct5">
      <a:fgClr>
        <a:srgbClr val="FFFFFF"/>
      </a:fgClr>
      <a:bgClr>
        <a:srgbClr val="FFFFFF"/>
      </a:bgClr>
    </a:pattFill>
    <a:ln>
      <a:noFill/>
    </a:ln>
  </c:spPr>
  <c:txPr>
    <a:bodyPr/>
    <a:lstStyle/>
    <a:p>
      <a:pPr>
        <a:defRPr sz="71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Zuchtkälber weibl. netto</a:t>
            </a:r>
          </a:p>
        </c:rich>
      </c:tx>
      <c:layout>
        <c:manualLayout>
          <c:xMode val="edge"/>
          <c:yMode val="edge"/>
          <c:x val="0.38344594594594594"/>
          <c:y val="2.1367521367521368E-2"/>
        </c:manualLayout>
      </c:layout>
      <c:overlay val="0"/>
      <c:spPr>
        <a:noFill/>
        <a:ln w="201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945945945945943E-2"/>
          <c:y val="0.17948717948717949"/>
          <c:w val="0.84966216216216217"/>
          <c:h val="0.700854700854700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0126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3.67</c:v>
                </c:pt>
                <c:pt idx="1">
                  <c:v>3.91</c:v>
                </c:pt>
                <c:pt idx="2">
                  <c:v>4.58</c:v>
                </c:pt>
                <c:pt idx="3">
                  <c:v>4.54</c:v>
                </c:pt>
                <c:pt idx="4">
                  <c:v>4.5599999999999996</c:v>
                </c:pt>
                <c:pt idx="5">
                  <c:v>5.22</c:v>
                </c:pt>
                <c:pt idx="6">
                  <c:v>5.7</c:v>
                </c:pt>
                <c:pt idx="7">
                  <c:v>4.84</c:v>
                </c:pt>
                <c:pt idx="8">
                  <c:v>5.12</c:v>
                </c:pt>
                <c:pt idx="9">
                  <c:v>4.57</c:v>
                </c:pt>
                <c:pt idx="10">
                  <c:v>3.9</c:v>
                </c:pt>
                <c:pt idx="11">
                  <c:v>4.54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F0-43EB-9D17-887E24E7B0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ln w="20126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4.3</c:v>
                </c:pt>
                <c:pt idx="1">
                  <c:v>4.41</c:v>
                </c:pt>
                <c:pt idx="2">
                  <c:v>4.45</c:v>
                </c:pt>
                <c:pt idx="3">
                  <c:v>4.6500000000000004</c:v>
                </c:pt>
                <c:pt idx="4">
                  <c:v>4.7300000000000004</c:v>
                </c:pt>
                <c:pt idx="5">
                  <c:v>4.74</c:v>
                </c:pt>
                <c:pt idx="6">
                  <c:v>4.79</c:v>
                </c:pt>
                <c:pt idx="7">
                  <c:v>4.6399999999999997</c:v>
                </c:pt>
                <c:pt idx="8">
                  <c:v>4.7699999999999996</c:v>
                </c:pt>
                <c:pt idx="9">
                  <c:v>4.2300000000000004</c:v>
                </c:pt>
                <c:pt idx="10">
                  <c:v>4.8</c:v>
                </c:pt>
                <c:pt idx="11">
                  <c:v>4.97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F0-43EB-9D17-887E24E7B08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ln w="20126">
              <a:solidFill>
                <a:srgbClr val="339966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4.28</c:v>
                </c:pt>
                <c:pt idx="1">
                  <c:v>4.8099999999999996</c:v>
                </c:pt>
                <c:pt idx="2">
                  <c:v>4.93</c:v>
                </c:pt>
                <c:pt idx="3">
                  <c:v>5.18</c:v>
                </c:pt>
                <c:pt idx="4">
                  <c:v>5.31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F0-43EB-9D17-887E24E7B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106360"/>
        <c:axId val="1"/>
      </c:lineChart>
      <c:catAx>
        <c:axId val="185106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7"/>
          <c:min val="3"/>
        </c:scaling>
        <c:delete val="0"/>
        <c:axPos val="l"/>
        <c:majorGridlines>
          <c:spPr>
            <a:ln w="2516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25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85106360"/>
        <c:crosses val="autoZero"/>
        <c:crossBetween val="between"/>
        <c:majorUnit val="0.5"/>
      </c:valAx>
      <c:spPr>
        <a:noFill/>
        <a:ln w="251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81081081081086"/>
          <c:y val="0"/>
          <c:w val="0.1097972972972973"/>
          <c:h val="0.17094017094017094"/>
        </c:manualLayout>
      </c:layout>
      <c:overlay val="0"/>
      <c:spPr>
        <a:noFill/>
        <a:ln w="2516">
          <a:solidFill>
            <a:srgbClr val="000000"/>
          </a:solidFill>
          <a:prstDash val="solid"/>
        </a:ln>
      </c:spPr>
      <c:txPr>
        <a:bodyPr/>
        <a:lstStyle/>
        <a:p>
          <a:pPr>
            <a:defRPr sz="5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1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Stierkälber netto</a:t>
            </a:r>
          </a:p>
        </c:rich>
      </c:tx>
      <c:layout>
        <c:manualLayout>
          <c:xMode val="edge"/>
          <c:yMode val="edge"/>
          <c:x val="0.41652323580034423"/>
          <c:y val="2.1367521367521368E-2"/>
        </c:manualLayout>
      </c:layout>
      <c:overlay val="0"/>
      <c:spPr>
        <a:noFill/>
        <a:ln w="201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18376068376068377"/>
          <c:w val="0.84853700516351116"/>
          <c:h val="0.69658119658119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0159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4.26</c:v>
                </c:pt>
                <c:pt idx="1">
                  <c:v>4.2300000000000004</c:v>
                </c:pt>
                <c:pt idx="2">
                  <c:v>4.62</c:v>
                </c:pt>
                <c:pt idx="3">
                  <c:v>4.6399999999999997</c:v>
                </c:pt>
                <c:pt idx="4">
                  <c:v>4.68</c:v>
                </c:pt>
                <c:pt idx="5">
                  <c:v>5.13</c:v>
                </c:pt>
                <c:pt idx="6">
                  <c:v>5.46</c:v>
                </c:pt>
                <c:pt idx="7">
                  <c:v>4.9400000000000004</c:v>
                </c:pt>
                <c:pt idx="8">
                  <c:v>4.66</c:v>
                </c:pt>
                <c:pt idx="9">
                  <c:v>4.62</c:v>
                </c:pt>
                <c:pt idx="10">
                  <c:v>4.42</c:v>
                </c:pt>
                <c:pt idx="11">
                  <c:v>4.28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44-488C-994C-2B40CDE30EE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ln w="20159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4.26</c:v>
                </c:pt>
                <c:pt idx="1">
                  <c:v>4.67</c:v>
                </c:pt>
                <c:pt idx="2">
                  <c:v>4.83</c:v>
                </c:pt>
                <c:pt idx="3">
                  <c:v>4.7</c:v>
                </c:pt>
                <c:pt idx="4">
                  <c:v>5.22</c:v>
                </c:pt>
                <c:pt idx="5">
                  <c:v>5.45</c:v>
                </c:pt>
                <c:pt idx="6">
                  <c:v>5.62</c:v>
                </c:pt>
                <c:pt idx="7">
                  <c:v>5.3</c:v>
                </c:pt>
                <c:pt idx="8">
                  <c:v>4.87</c:v>
                </c:pt>
                <c:pt idx="9">
                  <c:v>4.6399999999999997</c:v>
                </c:pt>
                <c:pt idx="10">
                  <c:v>4.6900000000000004</c:v>
                </c:pt>
                <c:pt idx="11">
                  <c:v>4.71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44-488C-994C-2B40CDE30EE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ln w="20159">
              <a:solidFill>
                <a:srgbClr val="339966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4.5</c:v>
                </c:pt>
                <c:pt idx="1">
                  <c:v>4.6900000000000004</c:v>
                </c:pt>
                <c:pt idx="2">
                  <c:v>5.23</c:v>
                </c:pt>
                <c:pt idx="3">
                  <c:v>5.33</c:v>
                </c:pt>
                <c:pt idx="4">
                  <c:v>5.03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44-488C-994C-2B40CDE30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108328"/>
        <c:axId val="1"/>
      </c:lineChart>
      <c:catAx>
        <c:axId val="185108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7"/>
          <c:min val="3"/>
        </c:scaling>
        <c:delete val="0"/>
        <c:axPos val="l"/>
        <c:majorGridlines>
          <c:spPr>
            <a:ln w="2520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25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85108328"/>
        <c:crosses val="autoZero"/>
        <c:crossBetween val="between"/>
        <c:majorUnit val="0.5"/>
      </c:valAx>
      <c:spPr>
        <a:noFill/>
        <a:ln w="252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2520">
          <a:solidFill>
            <a:srgbClr val="000000"/>
          </a:solidFill>
          <a:prstDash val="solid"/>
        </a:ln>
      </c:spPr>
      <c:txPr>
        <a:bodyPr/>
        <a:lstStyle/>
        <a:p>
          <a:pPr>
            <a:defRPr sz="59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0">
      <a:gsLst>
        <a:gs pos="0">
          <a:srgbClr val="FFFFFF"/>
        </a:gs>
        <a:gs pos="100000">
          <a:srgbClr val="FFFFFF">
            <a:gamma/>
            <a:tint val="0"/>
            <a:invGamma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81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Nutzkälber weibl. netto</a:t>
            </a:r>
          </a:p>
        </c:rich>
      </c:tx>
      <c:layout>
        <c:manualLayout>
          <c:xMode val="edge"/>
          <c:yMode val="edge"/>
          <c:x val="0.38726333907056798"/>
          <c:y val="2.1367521367521368E-2"/>
        </c:manualLayout>
      </c:layout>
      <c:overlay val="0"/>
      <c:spPr>
        <a:noFill/>
        <a:ln w="201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2264957264957265"/>
          <c:w val="0.84853700516351116"/>
          <c:h val="0.65384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014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3.38</c:v>
                </c:pt>
                <c:pt idx="1">
                  <c:v>3.24</c:v>
                </c:pt>
                <c:pt idx="2">
                  <c:v>3.47</c:v>
                </c:pt>
                <c:pt idx="3">
                  <c:v>3.6</c:v>
                </c:pt>
                <c:pt idx="4">
                  <c:v>3.54</c:v>
                </c:pt>
                <c:pt idx="5">
                  <c:v>4.0999999999999996</c:v>
                </c:pt>
                <c:pt idx="6">
                  <c:v>3.86</c:v>
                </c:pt>
                <c:pt idx="7">
                  <c:v>3.72</c:v>
                </c:pt>
                <c:pt idx="8">
                  <c:v>3.73</c:v>
                </c:pt>
                <c:pt idx="9">
                  <c:v>3.44</c:v>
                </c:pt>
                <c:pt idx="10">
                  <c:v>3.25</c:v>
                </c:pt>
                <c:pt idx="11">
                  <c:v>3.44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77-499C-8D65-C3B6AC4C134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ln w="20145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3.17</c:v>
                </c:pt>
                <c:pt idx="1">
                  <c:v>3.68</c:v>
                </c:pt>
                <c:pt idx="2">
                  <c:v>3.6</c:v>
                </c:pt>
                <c:pt idx="3">
                  <c:v>3.44</c:v>
                </c:pt>
                <c:pt idx="4">
                  <c:v>3.91</c:v>
                </c:pt>
                <c:pt idx="5">
                  <c:v>3.95</c:v>
                </c:pt>
                <c:pt idx="6">
                  <c:v>3.98</c:v>
                </c:pt>
                <c:pt idx="7">
                  <c:v>3.62</c:v>
                </c:pt>
                <c:pt idx="8">
                  <c:v>3.47</c:v>
                </c:pt>
                <c:pt idx="9">
                  <c:v>3.35</c:v>
                </c:pt>
                <c:pt idx="10">
                  <c:v>3.43</c:v>
                </c:pt>
                <c:pt idx="11">
                  <c:v>3.56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77-499C-8D65-C3B6AC4C134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ln w="20145">
              <a:solidFill>
                <a:srgbClr val="339966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3.46</c:v>
                </c:pt>
                <c:pt idx="1">
                  <c:v>3.33</c:v>
                </c:pt>
                <c:pt idx="2">
                  <c:v>3.53</c:v>
                </c:pt>
                <c:pt idx="3">
                  <c:v>3.79</c:v>
                </c:pt>
                <c:pt idx="4">
                  <c:v>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77-499C-8D65-C3B6AC4C1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437696"/>
        <c:axId val="1"/>
      </c:lineChart>
      <c:catAx>
        <c:axId val="18343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4.5"/>
          <c:min val="2.5"/>
        </c:scaling>
        <c:delete val="0"/>
        <c:axPos val="l"/>
        <c:majorGridlines>
          <c:spPr>
            <a:ln w="2518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25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83437696"/>
        <c:crosses val="autoZero"/>
        <c:crossBetween val="between"/>
        <c:majorUnit val="0.5"/>
      </c:valAx>
      <c:spPr>
        <a:noFill/>
        <a:ln w="2518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2518">
          <a:solidFill>
            <a:srgbClr val="000000"/>
          </a:solidFill>
          <a:prstDash val="solid"/>
        </a:ln>
      </c:spPr>
      <c:txPr>
        <a:bodyPr/>
        <a:lstStyle/>
        <a:p>
          <a:pPr>
            <a:defRPr sz="59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1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EEEB-10F4-4149-A1B6-73EAAB19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creator>stocthe</dc:creator>
  <cp:lastModifiedBy>Pichler Anni</cp:lastModifiedBy>
  <cp:revision>2</cp:revision>
  <cp:lastPrinted>2014-11-25T09:59:00Z</cp:lastPrinted>
  <dcterms:created xsi:type="dcterms:W3CDTF">2017-05-03T17:37:00Z</dcterms:created>
  <dcterms:modified xsi:type="dcterms:W3CDTF">2017-05-03T17:37:00Z</dcterms:modified>
</cp:coreProperties>
</file>